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074" w14:textId="77777777" w:rsidR="00AB1B45" w:rsidRDefault="00000000">
      <w:pPr>
        <w:rPr>
          <w:rFonts w:ascii="Traditional Arabic" w:eastAsia="Traditional Arabic" w:hAnsi="Traditional Arabic" w:cs="Traditional Arabic"/>
          <w:b/>
          <w:color w:val="FF0000"/>
          <w:sz w:val="36"/>
          <w:szCs w:val="36"/>
        </w:rPr>
      </w:pPr>
      <w:r>
        <w:rPr>
          <w:rFonts w:ascii="Traditional Arabic" w:eastAsia="Traditional Arabic" w:hAnsi="Traditional Arabic" w:cs="Traditional Arabic"/>
          <w:b/>
          <w:color w:val="FF0000"/>
          <w:sz w:val="36"/>
          <w:szCs w:val="36"/>
          <w:rtl/>
        </w:rPr>
        <w:t>العنوان</w:t>
      </w:r>
    </w:p>
    <w:p w14:paraId="74A61EAE" w14:textId="77777777" w:rsidR="00AB1B45" w:rsidRDefault="00000000">
      <w:pPr>
        <w:rPr>
          <w:rFonts w:ascii="Traditional Arabic" w:eastAsia="Traditional Arabic" w:hAnsi="Traditional Arabic" w:cs="Traditional Arabic"/>
          <w:b/>
          <w:color w:val="6AA84F"/>
          <w:sz w:val="36"/>
          <w:szCs w:val="36"/>
        </w:rPr>
      </w:pPr>
      <w:r>
        <w:rPr>
          <w:rFonts w:ascii="Traditional Arabic" w:eastAsia="Traditional Arabic" w:hAnsi="Traditional Arabic" w:cs="Traditional Arabic"/>
          <w:b/>
          <w:color w:val="6AA84F"/>
          <w:sz w:val="36"/>
          <w:szCs w:val="36"/>
          <w:rtl/>
        </w:rPr>
        <w:t>المقدمة والإهداء</w:t>
      </w:r>
    </w:p>
    <w:p w14:paraId="23F3F06D"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(الدِّيْن الحَقُ)</w:t>
      </w:r>
    </w:p>
    <w:p w14:paraId="605B38C6" w14:textId="77777777" w:rsidR="00AB1B45" w:rsidRDefault="00000000" w:rsidP="00F90E9C">
      <w:pPr>
        <w:pStyle w:val="Heading3"/>
        <w:rPr>
          <w:color w:val="1C4587"/>
        </w:rPr>
      </w:pPr>
      <w:bookmarkStart w:id="0" w:name="_heading=h.z0536f2321jn" w:colFirst="0" w:colLast="0"/>
      <w:bookmarkEnd w:id="0"/>
      <w:r>
        <w:rPr>
          <w:color w:val="1C4587"/>
          <w:rtl/>
        </w:rPr>
        <w:t>تعريف بالكتاب</w:t>
      </w:r>
    </w:p>
    <w:p w14:paraId="3BD5B91D" w14:textId="77777777" w:rsidR="005C5742" w:rsidRDefault="00000000">
      <w:pPr>
        <w:rPr>
          <w:rFonts w:ascii="Traditional Arabic" w:eastAsia="Traditional Arabic" w:hAnsi="Traditional Arabic" w:cs="Traditional Arabic"/>
          <w:sz w:val="36"/>
          <w:szCs w:val="36"/>
          <w:rtl/>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الدين الحق، الحمدُ للهِ، وصلَّى الله وسلَّم وباركَ على عبدِهِ ورسولِه</w:t>
      </w:r>
      <w:r w:rsidR="005C5742">
        <w:rPr>
          <w:rFonts w:ascii="Traditional Arabic" w:eastAsia="Traditional Arabic" w:hAnsi="Traditional Arabic" w:cs="Traditional Arabic" w:hint="cs"/>
          <w:sz w:val="36"/>
          <w:szCs w:val="36"/>
          <w:rtl/>
        </w:rPr>
        <w:t>.</w:t>
      </w:r>
    </w:p>
    <w:p w14:paraId="269DE018" w14:textId="0371B267"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 xml:space="preserve">"الدينُ الحقُّ" هذا كتابٌ جديدٌ درسٌ جديدٌ في مُؤلَّفٍ اسمُه "الدين الحق" للشيخ عبدُ الرحمن بن حمَّاد العُمَر، وهو مِن فُضلاء أهل العلم المعروفين بالعلم والدعوة والاجتهاد في نشرِ العلمِ وفي تحصيلِ العلم، رحمه الله، وهو مُعاصِرٌ قريب، تُوفي قريبًا، ذُكِرَ في ترجمتِهِ أنه وُلدَ في عامِ أربعةٍ وخمسين، وتُوفي في عامِ سبعة وثلاثين، يعني منذ ثلاثِ سنين تقريبًا، وهذا الكتاب بهذا العنوان له شأنٌ، فهو يريدُ التعريف بأنَّ الدِّينَ الحقَّ هو دِيْنُ الإسلام؛ لأن كثيرًا مِن الناس يَلتبِسُ عليه الأمرُ، وإن كان مسلمًا قد يُلبَّسُ عليهِ، فالكتاب مبنيٌّ على مضمونِ قوله تعالى: </w:t>
      </w:r>
      <w:r>
        <w:rPr>
          <w:rFonts w:ascii="Traditional Arabic" w:eastAsia="Traditional Arabic" w:hAnsi="Traditional Arabic" w:cs="Traditional Arabic"/>
          <w:color w:val="FF0000"/>
          <w:sz w:val="36"/>
          <w:szCs w:val="36"/>
          <w:rtl/>
        </w:rPr>
        <w:t>{وَمَنْ يَبْتَغِ غَيْرَ الْإِسْلَامِ دِينًا فَلَنْ يُقْبَلَ مِنْهُ}</w:t>
      </w:r>
      <w:r>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sz w:val="28"/>
          <w:szCs w:val="28"/>
          <w:rtl/>
        </w:rPr>
        <w:t xml:space="preserve">[آل عمران:85] </w:t>
      </w:r>
      <w:r>
        <w:rPr>
          <w:rFonts w:ascii="Traditional Arabic" w:eastAsia="Traditional Arabic" w:hAnsi="Traditional Arabic" w:cs="Traditional Arabic"/>
          <w:sz w:val="36"/>
          <w:szCs w:val="36"/>
          <w:rtl/>
        </w:rPr>
        <w:t>وبناهُ أيضًا على مسائلِ..، على الأصول الثلاثة التي يُسأل عنها الإنسان في قبره: مَن ربُّك؟ وما دينُك؟ ومَن نبيُك؟ فهذا الكتاب مبنيٌّ على هذين الأمرين على معنى الآية: {وَمَنْ يَبْتَغِ غَيْرَ الْإِسْلَامِ دِينًا} وعلى مسائلِ القبر وهي الأصول الثلاثة:</w:t>
      </w:r>
      <w:r>
        <w:t xml:space="preserve"> </w:t>
      </w:r>
      <w:r>
        <w:rPr>
          <w:rFonts w:ascii="Traditional Arabic" w:eastAsia="Traditional Arabic" w:hAnsi="Traditional Arabic" w:cs="Traditional Arabic"/>
          <w:sz w:val="36"/>
          <w:szCs w:val="36"/>
          <w:rtl/>
        </w:rPr>
        <w:t xml:space="preserve">من ربك؟ وما دينك؟ ومن نبيك؟ </w:t>
      </w:r>
    </w:p>
    <w:p w14:paraId="0F931E7C" w14:textId="77777777" w:rsidR="005C5742" w:rsidRDefault="00000000">
      <w:pPr>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وهو مُوجَّهٌ إلى جميعِ الناسِ لا إلى المسلمين فقط، هذا الكتابُ واضحٌ مِن تعبيرِ المؤلِّف أنه يتجِهُ به إلى كل إنسانٍ له عقلٌ يفكرُ به، ويُميِّزُ به بين الخيرِ والشرِ، والصدقِ والكذبِ.</w:t>
      </w:r>
    </w:p>
    <w:p w14:paraId="11AABC3B" w14:textId="54AE32A7"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 xml:space="preserve">ويتولَّى القراءة أبو فيصل -جزاه الله خيرًا- ولعله </w:t>
      </w:r>
      <w:r w:rsidR="005C5742">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sz w:val="36"/>
          <w:szCs w:val="36"/>
          <w:rtl/>
        </w:rPr>
        <w:t>يعني</w:t>
      </w:r>
      <w:r w:rsidR="005C5742">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sz w:val="36"/>
          <w:szCs w:val="36"/>
          <w:rtl/>
        </w:rPr>
        <w:t xml:space="preserve"> يقرأُ الترجمة المكتوبة المأخوذة مِن كتابةِ الشيخِ سعد بن عبد الرحمن القاسم فإنَّه ترجمَ له في "مُلحق الدُّرَر السَّنِيَّة".</w:t>
      </w:r>
    </w:p>
    <w:p w14:paraId="5E03F029" w14:textId="39DA07E3"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تفضل يا أبو فيصل</w:t>
      </w:r>
      <w:r w:rsidR="005C5742">
        <w:rPr>
          <w:rFonts w:ascii="Traditional Arabic" w:eastAsia="Traditional Arabic" w:hAnsi="Traditional Arabic" w:cs="Traditional Arabic" w:hint="cs"/>
          <w:sz w:val="36"/>
          <w:szCs w:val="36"/>
          <w:rtl/>
        </w:rPr>
        <w:t>.</w:t>
      </w:r>
    </w:p>
    <w:p w14:paraId="58212EBB" w14:textId="7C6D536C"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القارئ: </w:t>
      </w:r>
      <w:r>
        <w:rPr>
          <w:rFonts w:ascii="Traditional Arabic" w:eastAsia="Traditional Arabic" w:hAnsi="Traditional Arabic" w:cs="Traditional Arabic"/>
          <w:sz w:val="36"/>
          <w:szCs w:val="36"/>
          <w:rtl/>
        </w:rPr>
        <w:t>أكرمكم الله أحسنَ الله إليكم</w:t>
      </w:r>
      <w:r w:rsidR="005C5742">
        <w:rPr>
          <w:rFonts w:ascii="Traditional Arabic" w:eastAsia="Traditional Arabic" w:hAnsi="Traditional Arabic" w:cs="Traditional Arabic" w:hint="cs"/>
          <w:sz w:val="36"/>
          <w:szCs w:val="36"/>
          <w:rtl/>
        </w:rPr>
        <w:t>.</w:t>
      </w:r>
    </w:p>
    <w:p w14:paraId="0C0AB3F9" w14:textId="77777777" w:rsidR="00AB1B45" w:rsidRDefault="00000000">
      <w:pPr>
        <w:pStyle w:val="Heading3"/>
      </w:pPr>
      <w:bookmarkStart w:id="1" w:name="_heading=h.q9hwa17sce0x" w:colFirst="0" w:colLast="0"/>
      <w:bookmarkEnd w:id="1"/>
      <w:r>
        <w:rPr>
          <w:color w:val="1C4587"/>
          <w:rtl/>
        </w:rPr>
        <w:t>تعريف بالمؤلف</w:t>
      </w:r>
    </w:p>
    <w:p w14:paraId="11A70A7D"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بسمِ اللهِ الرحمنِ الرحيمِ، الحمدُ للهِ ربِّ العالمين، والصلاةُ والسَّلامُ على نبيِّنا محمَّدٍ وعلى </w:t>
      </w:r>
      <w:proofErr w:type="spellStart"/>
      <w:r>
        <w:rPr>
          <w:rFonts w:ascii="Traditional Arabic" w:eastAsia="Traditional Arabic" w:hAnsi="Traditional Arabic" w:cs="Traditional Arabic"/>
          <w:b/>
          <w:sz w:val="36"/>
          <w:szCs w:val="36"/>
          <w:rtl/>
        </w:rPr>
        <w:t>آلِهِ</w:t>
      </w:r>
      <w:proofErr w:type="spellEnd"/>
      <w:r>
        <w:rPr>
          <w:rFonts w:ascii="Traditional Arabic" w:eastAsia="Traditional Arabic" w:hAnsi="Traditional Arabic" w:cs="Traditional Arabic"/>
          <w:b/>
          <w:sz w:val="36"/>
          <w:szCs w:val="36"/>
          <w:rtl/>
        </w:rPr>
        <w:t xml:space="preserve"> وصحبِهِ أجمعينَ، اللهمَّ ارحمْنا وشيخَنا والحاضرينَ والمستمعينَ:</w:t>
      </w:r>
    </w:p>
    <w:p w14:paraId="504A0545"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عبدُ الرحمنِ بنُ حمَّادِ العُمُر البَدْراني، رحمَه اللهُ تعالى، عالمٌ جليلٌ، وداعيةٌ إلى اللهِ بالحكمةِ، والموعظةِ الحسنةِ، وُلِدَ في "روضةِ سُدير" في السابعَ عشرَ من الشهرِ الثاني عامَ أربعةٍ وخمسينَ وثلاثمئةٍ وألفٍ مِن الهجرةِ، </w:t>
      </w:r>
      <w:r>
        <w:rPr>
          <w:rFonts w:ascii="Traditional Arabic" w:eastAsia="Traditional Arabic" w:hAnsi="Traditional Arabic" w:cs="Traditional Arabic"/>
          <w:b/>
          <w:sz w:val="36"/>
          <w:szCs w:val="36"/>
          <w:rtl/>
        </w:rPr>
        <w:lastRenderedPageBreak/>
        <w:t>وتربَّى على يَدَيْ والدَيْه، وتعلَّمَ مبادئَ القراءةِ والكتابةِ على يدِ إمامِ جامعِ البلدِ الشيخُ عبدُ العزيزِ بنُ عبدِ الرحمنِ بنُ فَنتوخ، وتعلَّمَ القرآنَ على فَوزان القِديري وابنِهِ عبدُ الله، وأكملَ دراسةَ القرآنِ وحَفِظَ الأصولَ الثلاثةَ وأدلَّتَها، وشروطَ الصلاةِ وأحكامَها على والدِهِ، رحمَهُ اللهُ.</w:t>
      </w:r>
    </w:p>
    <w:p w14:paraId="42B91A2F"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والتحقَ بالمدرسةِ الابتدائيةِ عامَ تسعةٍ وستينَ وثلاثمائةٍ وألفٍ، ثمَّ بالمعهدِ العِلْميِّ بالرياضِ، ثمَّ بكليةِ الشريعةِ فتخرَّجَ منها عامَ اثنينِ وثمانينَ وثلاثةٍ وثمانينَ، وأخذَ قبلَ التخرُّجِ وبعدَه عَن كثيرٍ مِن العلماءِ، وفي مقدمتِهم الشيخُ محمَّدُ بنُ إبراهيمَ، والشيخُ عبدُ العزيزِ بن بازٍ، والشيخُ عبدُ اللهِ بنُ محمَّدِ بنُ حميدٍ، </w:t>
      </w:r>
    </w:p>
    <w:p w14:paraId="522E490D"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هؤلاء الأعلام، أعلامُ علماءِ هذه البلاد، الثلاثةُ هؤلاء كلُّهم تعاصَروا، وكلُّهم تَبَوَّؤُا المنزلةَ الرفيعةَ في العلمِ والاعتبار، محمَّدُ بن ابراهيم آل الشيخ، وعبدُ العزيز بن عبد الله بن باز، والشيخُ عبد الله بن محمد بن حميد، هؤلاءِ الثلاثة هم أبرزُ علماءِ هذه البلاد في وقتِهم -رحمهم الله وجزاهم الله عن الإسلام والمسلمين-، فالشيخ تتلمذ على الثلاثة.</w:t>
      </w:r>
      <w:r>
        <w:rPr>
          <w:rFonts w:ascii="Traditional Arabic" w:eastAsia="Traditional Arabic" w:hAnsi="Traditional Arabic" w:cs="Traditional Arabic"/>
          <w:b/>
          <w:sz w:val="36"/>
          <w:szCs w:val="36"/>
        </w:rPr>
        <w:t xml:space="preserve"> </w:t>
      </w:r>
    </w:p>
    <w:p w14:paraId="54B5589B" w14:textId="77777777" w:rsidR="00AB1B45" w:rsidRDefault="00AB1B45">
      <w:pPr>
        <w:rPr>
          <w:rFonts w:ascii="Traditional Arabic" w:eastAsia="Traditional Arabic" w:hAnsi="Traditional Arabic" w:cs="Traditional Arabic"/>
          <w:b/>
          <w:sz w:val="36"/>
          <w:szCs w:val="36"/>
        </w:rPr>
      </w:pPr>
    </w:p>
    <w:p w14:paraId="4C1506D4"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القارئ: وكذا الشيخُ سليمانُ بنُ حَمدان رحمَهم اللهُ تعالى،</w:t>
      </w:r>
    </w:p>
    <w:p w14:paraId="5DB3C8A8"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وهذا معروفٌ أيضًا مِن العلماءِ الغَيورين، والذين تولَّوا القضاءَ وتولَّوا التَّدريس، سليمانُ الحَمدان، رحمه الله، بمكة والطائف والمدينة.</w:t>
      </w:r>
    </w:p>
    <w:p w14:paraId="5525C679"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القارئ: وقد أجازَهُ كتابةً بما أجازهُ أهلُ العلمِ، وأخذَ العلمَ أيضًا عَن غيرِهم مِن أهلِ العلمِ.</w:t>
      </w:r>
    </w:p>
    <w:p w14:paraId="253BE9F3"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وكانَ يُكثرُ مِن قراءةِ كتبِ شيخِ الإسلام ابنِ تيميةَ وابنِ القيمِ وكتبِ أئمةِ الدعوةِ، والمراجعِ الكبارِ في التفسيرِ والحديثِ والأصولِ والفقهِ وغيرِ ذلكِ. ولَه كتبٌ ورسائلُ بلغَتْ ثمانيةَ عشرَ طُبِعَ بعضُها وانتشرَ، منها: "في سبيلِ الحقِّ"، </w:t>
      </w:r>
      <w:proofErr w:type="spellStart"/>
      <w:r>
        <w:rPr>
          <w:rFonts w:ascii="Traditional Arabic" w:eastAsia="Traditional Arabic" w:hAnsi="Traditional Arabic" w:cs="Traditional Arabic"/>
          <w:b/>
          <w:sz w:val="36"/>
          <w:szCs w:val="36"/>
          <w:rtl/>
        </w:rPr>
        <w:t>و"الإرشادُ</w:t>
      </w:r>
      <w:proofErr w:type="spellEnd"/>
      <w:r>
        <w:rPr>
          <w:rFonts w:ascii="Traditional Arabic" w:eastAsia="Traditional Arabic" w:hAnsi="Traditional Arabic" w:cs="Traditional Arabic"/>
          <w:b/>
          <w:sz w:val="36"/>
          <w:szCs w:val="36"/>
          <w:rtl/>
        </w:rPr>
        <w:t xml:space="preserve"> إلى توحيدِ ربِّ العبادِ"، </w:t>
      </w:r>
      <w:proofErr w:type="spellStart"/>
      <w:r>
        <w:rPr>
          <w:rFonts w:ascii="Traditional Arabic" w:eastAsia="Traditional Arabic" w:hAnsi="Traditional Arabic" w:cs="Traditional Arabic"/>
          <w:b/>
          <w:sz w:val="36"/>
          <w:szCs w:val="36"/>
          <w:rtl/>
        </w:rPr>
        <w:t>و"الذِّكرى</w:t>
      </w:r>
      <w:proofErr w:type="spellEnd"/>
      <w:r>
        <w:rPr>
          <w:rFonts w:ascii="Traditional Arabic" w:eastAsia="Traditional Arabic" w:hAnsi="Traditional Arabic" w:cs="Traditional Arabic"/>
          <w:b/>
          <w:sz w:val="36"/>
          <w:szCs w:val="36"/>
          <w:rtl/>
        </w:rPr>
        <w:t xml:space="preserve">"، وكتابُ: "دِينِ الحقِّ" وقد تُرجم إلى لغاتٍ كثيرةٍ، وغيرِ ذلكَ. ولَه مشاركةٌ في المحاضراتِ والنَّدواتِ في المساجدِ وعَمِلَ محاسبًا </w:t>
      </w:r>
    </w:p>
    <w:p w14:paraId="068AC887"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ثم عمل مدرسًا بوزارةِ المعارفِ ما يقاربُ ثلاثينَ عامًا حتى تقاعدَ في سنةِ 1415هـ، ولَه أولادٌ فيهم الخيرُ والبركةُ.</w:t>
      </w:r>
    </w:p>
    <w:p w14:paraId="153B8DD4"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رحمه الله، رحمه الله، وأصلح ذريته.</w:t>
      </w:r>
    </w:p>
    <w:p w14:paraId="28BCCCFE"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القارئ: وتوفي -رحمه الله تعالى- في يومِ الأحدِ في الشهرِ الثاني مِن ربيعٍ الأول عامَ 1437 هـ، نسألُ اللهَ أنْ يتقبلَ منَّا ومنه الحسناتُ وأنْ يغفرَ لنا ولَه السيئاتِ، وصلَّى اللهُ على محمَّدٍ </w:t>
      </w:r>
      <w:proofErr w:type="spellStart"/>
      <w:r>
        <w:rPr>
          <w:rFonts w:ascii="Traditional Arabic" w:eastAsia="Traditional Arabic" w:hAnsi="Traditional Arabic" w:cs="Traditional Arabic"/>
          <w:b/>
          <w:sz w:val="36"/>
          <w:szCs w:val="36"/>
          <w:rtl/>
        </w:rPr>
        <w:t>وآلِه</w:t>
      </w:r>
      <w:proofErr w:type="spellEnd"/>
      <w:r>
        <w:rPr>
          <w:rFonts w:ascii="Traditional Arabic" w:eastAsia="Traditional Arabic" w:hAnsi="Traditional Arabic" w:cs="Traditional Arabic"/>
          <w:b/>
          <w:sz w:val="36"/>
          <w:szCs w:val="36"/>
          <w:rtl/>
        </w:rPr>
        <w:t xml:space="preserve"> وصحبِهِ وسلَّم.</w:t>
      </w:r>
    </w:p>
    <w:p w14:paraId="6E10F0FB"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توقيع ما في [يوجد]؟ كتبه؟</w:t>
      </w:r>
    </w:p>
    <w:p w14:paraId="1AF9BCAE" w14:textId="1D5C0932"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lastRenderedPageBreak/>
        <w:t xml:space="preserve">طالب: </w:t>
      </w:r>
      <w:r>
        <w:rPr>
          <w:rFonts w:ascii="Traditional Arabic" w:eastAsia="Traditional Arabic" w:hAnsi="Traditional Arabic" w:cs="Traditional Arabic"/>
          <w:sz w:val="36"/>
          <w:szCs w:val="36"/>
          <w:rtl/>
        </w:rPr>
        <w:t>لا، الدرر السَّنِية ما في [....] ما ذكر شيء الشيخ سعد</w:t>
      </w:r>
      <w:r w:rsidR="005C5742">
        <w:rPr>
          <w:rFonts w:ascii="Traditional Arabic" w:eastAsia="Traditional Arabic" w:hAnsi="Traditional Arabic" w:cs="Traditional Arabic" w:hint="cs"/>
          <w:sz w:val="36"/>
          <w:szCs w:val="36"/>
          <w:rtl/>
        </w:rPr>
        <w:t>..</w:t>
      </w:r>
    </w:p>
    <w:p w14:paraId="79C81D79" w14:textId="28DCD56A"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 xml:space="preserve">ما ذكر شيء، لكن الأصلُ المترجِمُ هو سعد، وكان مِن الـمُناسب إضافة </w:t>
      </w:r>
      <w:proofErr w:type="gramStart"/>
      <w:r>
        <w:rPr>
          <w:rFonts w:ascii="Traditional Arabic" w:eastAsia="Traditional Arabic" w:hAnsi="Traditional Arabic" w:cs="Traditional Arabic"/>
          <w:sz w:val="36"/>
          <w:szCs w:val="36"/>
          <w:rtl/>
        </w:rPr>
        <w:t>ذلك</w:t>
      </w:r>
      <w:r>
        <w:rPr>
          <w:rFonts w:ascii="Traditional Arabic" w:eastAsia="Traditional Arabic" w:hAnsi="Traditional Arabic" w:cs="Traditional Arabic"/>
          <w:b/>
          <w:sz w:val="36"/>
          <w:szCs w:val="36"/>
        </w:rPr>
        <w:t xml:space="preserve"> </w:t>
      </w:r>
      <w:r w:rsidR="005C5742">
        <w:rPr>
          <w:rFonts w:ascii="Traditional Arabic" w:eastAsia="Traditional Arabic" w:hAnsi="Traditional Arabic" w:cs="Traditional Arabic" w:hint="cs"/>
          <w:b/>
          <w:sz w:val="36"/>
          <w:szCs w:val="36"/>
          <w:rtl/>
        </w:rPr>
        <w:t>.</w:t>
      </w:r>
      <w:proofErr w:type="gramEnd"/>
      <w:r w:rsidR="005C5742">
        <w:rPr>
          <w:rFonts w:ascii="Traditional Arabic" w:eastAsia="Traditional Arabic" w:hAnsi="Traditional Arabic" w:cs="Traditional Arabic" w:hint="cs"/>
          <w:b/>
          <w:sz w:val="36"/>
          <w:szCs w:val="36"/>
          <w:rtl/>
        </w:rPr>
        <w:t>.</w:t>
      </w:r>
    </w:p>
    <w:p w14:paraId="0D1FA8FD" w14:textId="3F31125F"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الطالب: </w:t>
      </w:r>
      <w:r>
        <w:rPr>
          <w:rFonts w:ascii="Traditional Arabic" w:eastAsia="Traditional Arabic" w:hAnsi="Traditional Arabic" w:cs="Traditional Arabic"/>
          <w:sz w:val="36"/>
          <w:szCs w:val="36"/>
          <w:rtl/>
        </w:rPr>
        <w:t>ما عرفت</w:t>
      </w:r>
      <w:r w:rsidR="005C5742">
        <w:rPr>
          <w:rFonts w:ascii="Traditional Arabic" w:eastAsia="Traditional Arabic" w:hAnsi="Traditional Arabic" w:cs="Traditional Arabic" w:hint="cs"/>
          <w:sz w:val="36"/>
          <w:szCs w:val="36"/>
          <w:rtl/>
        </w:rPr>
        <w:t>..</w:t>
      </w:r>
    </w:p>
    <w:p w14:paraId="12A2B978" w14:textId="3D518206"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سبق التنبيه على هذا، الحمد لله. تفضل يا شيخ</w:t>
      </w:r>
      <w:r w:rsidR="005C5742">
        <w:rPr>
          <w:rFonts w:ascii="Traditional Arabic" w:eastAsia="Traditional Arabic" w:hAnsi="Traditional Arabic" w:cs="Traditional Arabic" w:hint="cs"/>
          <w:sz w:val="36"/>
          <w:szCs w:val="36"/>
          <w:rtl/>
        </w:rPr>
        <w:t>..</w:t>
      </w:r>
    </w:p>
    <w:p w14:paraId="07B1F5FB"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القارئ: </w:t>
      </w:r>
      <w:r>
        <w:rPr>
          <w:rFonts w:ascii="Traditional Arabic" w:eastAsia="Traditional Arabic" w:hAnsi="Traditional Arabic" w:cs="Traditional Arabic"/>
          <w:sz w:val="36"/>
          <w:szCs w:val="36"/>
          <w:rtl/>
        </w:rPr>
        <w:t>أحسنَ الله إليكم، نبدأ بالمقدمة والإهداء أمْ مباشرة في الكتاب؟</w:t>
      </w:r>
      <w:r>
        <w:rPr>
          <w:rFonts w:ascii="Traditional Arabic" w:eastAsia="Traditional Arabic" w:hAnsi="Traditional Arabic" w:cs="Traditional Arabic"/>
          <w:b/>
          <w:sz w:val="36"/>
          <w:szCs w:val="36"/>
        </w:rPr>
        <w:t xml:space="preserve"> </w:t>
      </w:r>
    </w:p>
    <w:p w14:paraId="5136594D"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لا، المقدمة، مقدمة المؤلف؟</w:t>
      </w:r>
    </w:p>
    <w:p w14:paraId="2D0CC4E0" w14:textId="4B570E89"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القارئ: </w:t>
      </w:r>
      <w:r>
        <w:rPr>
          <w:rFonts w:ascii="Traditional Arabic" w:eastAsia="Traditional Arabic" w:hAnsi="Traditional Arabic" w:cs="Traditional Arabic"/>
          <w:sz w:val="36"/>
          <w:szCs w:val="36"/>
          <w:rtl/>
        </w:rPr>
        <w:t>نعم</w:t>
      </w:r>
      <w:r w:rsidR="005C5742">
        <w:rPr>
          <w:rFonts w:ascii="Traditional Arabic" w:eastAsia="Traditional Arabic" w:hAnsi="Traditional Arabic" w:cs="Traditional Arabic" w:hint="cs"/>
          <w:sz w:val="36"/>
          <w:szCs w:val="36"/>
          <w:rtl/>
        </w:rPr>
        <w:t>..</w:t>
      </w:r>
    </w:p>
    <w:p w14:paraId="5DE9A069"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خلاص، مقدمة الـمُؤلِّفِ مِن الـمُؤلَّفِ.</w:t>
      </w:r>
    </w:p>
    <w:p w14:paraId="66BBD095" w14:textId="77777777"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القارئ: </w:t>
      </w:r>
      <w:r>
        <w:rPr>
          <w:rFonts w:ascii="Traditional Arabic" w:eastAsia="Traditional Arabic" w:hAnsi="Traditional Arabic" w:cs="Traditional Arabic"/>
          <w:sz w:val="36"/>
          <w:szCs w:val="36"/>
          <w:rtl/>
        </w:rPr>
        <w:t>قال رحمه الله:</w:t>
      </w:r>
    </w:p>
    <w:p w14:paraId="4E3DC84F" w14:textId="77777777" w:rsidR="00AB1B45" w:rsidRDefault="00000000">
      <w:pPr>
        <w:pStyle w:val="Heading3"/>
      </w:pPr>
      <w:r>
        <w:rPr>
          <w:color w:val="1C4587"/>
          <w:rtl/>
        </w:rPr>
        <w:t>المقدمة</w:t>
      </w:r>
    </w:p>
    <w:p w14:paraId="333A52EB"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الحمدُ للهِ ربِّ العالمينَ، والصلاةُ والسلامُ على جميعِ رسلِ اللهِ، وبعدُ: فهذهِ دعوةٌ إلى النَّجاةِ، أتقدمُ بها</w:t>
      </w:r>
    </w:p>
    <w:p w14:paraId="5F8BE181" w14:textId="65D58E16"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والصلاة والسلام على رسل الله، يعني الـمُعتادُ: "الصلاة والسلام على رسول الله محمد صلَّى الله عليه وسلَّمَ"؛ لأننا أخَصُّ بهذا الرسولِ، ولكن إن كانَت العبارةُ صحيحةٌ في أصلِ عبارة الشيخ، فلعلَّه انطلاقًا مِن أنَّ الدِّين الحقّ -دين الإسلام- هو ما بعثَ الله به رسلَه مِن أولهم إلى آخرهم. لعلَّ العُدُول عن العبارةِ المشهورة إلى ما ذكرَ لعلَّها مِن مُنطلق أنَّ الدِّين الحق هو ما بَعثَ الله بِه رسلَهُ مِن أولِهم إلى آخرِهم</w:t>
      </w:r>
      <w:r w:rsidR="005C5742">
        <w:rPr>
          <w:rFonts w:ascii="Traditional Arabic" w:eastAsia="Traditional Arabic" w:hAnsi="Traditional Arabic" w:cs="Traditional Arabic" w:hint="cs"/>
          <w:sz w:val="36"/>
          <w:szCs w:val="36"/>
          <w:rtl/>
        </w:rPr>
        <w:t>.</w:t>
      </w:r>
    </w:p>
    <w:p w14:paraId="1456ED6E" w14:textId="6698F299"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القارئ: </w:t>
      </w:r>
      <w:r>
        <w:rPr>
          <w:rFonts w:ascii="Traditional Arabic" w:eastAsia="Traditional Arabic" w:hAnsi="Traditional Arabic" w:cs="Traditional Arabic"/>
          <w:sz w:val="36"/>
          <w:szCs w:val="36"/>
          <w:rtl/>
        </w:rPr>
        <w:t>هو هكذا موجود</w:t>
      </w:r>
      <w:r w:rsidR="005C5742">
        <w:rPr>
          <w:rFonts w:ascii="Traditional Arabic" w:eastAsia="Traditional Arabic" w:hAnsi="Traditional Arabic" w:cs="Traditional Arabic" w:hint="cs"/>
          <w:sz w:val="36"/>
          <w:szCs w:val="36"/>
          <w:rtl/>
        </w:rPr>
        <w:t>..</w:t>
      </w:r>
    </w:p>
    <w:p w14:paraId="65DF4716"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أيش قلت</w:t>
      </w:r>
      <w:r>
        <w:rPr>
          <w:rFonts w:ascii="Traditional Arabic" w:eastAsia="Traditional Arabic" w:hAnsi="Traditional Arabic" w:cs="Traditional Arabic"/>
          <w:b/>
          <w:sz w:val="36"/>
          <w:szCs w:val="36"/>
          <w:rtl/>
        </w:rPr>
        <w:t>؟</w:t>
      </w:r>
    </w:p>
    <w:p w14:paraId="41B704B0" w14:textId="4F0FBAC4"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القارئ: "على جميعِ رسلِ اللهِ" هكذا</w:t>
      </w:r>
      <w:r w:rsidR="005C5742">
        <w:rPr>
          <w:rFonts w:ascii="Traditional Arabic" w:eastAsia="Traditional Arabic" w:hAnsi="Traditional Arabic" w:cs="Traditional Arabic" w:hint="cs"/>
          <w:b/>
          <w:sz w:val="36"/>
          <w:szCs w:val="36"/>
          <w:rtl/>
        </w:rPr>
        <w:t>..</w:t>
      </w:r>
    </w:p>
    <w:p w14:paraId="253BAAC8" w14:textId="77777777"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أنا ذكرتُ هذا؛ لأنَّ هذه تلفتُ الانتباه، لأنَّ الـمُعتاد يعني يأتي ذِكر الرسلِ بعد ذِكر محمَّد عليه الصلاة والسلام.</w:t>
      </w:r>
    </w:p>
    <w:p w14:paraId="7D138222" w14:textId="77777777" w:rsidR="00AB1B45" w:rsidRDefault="00AB1B45">
      <w:pPr>
        <w:rPr>
          <w:rFonts w:ascii="Traditional Arabic" w:eastAsia="Traditional Arabic" w:hAnsi="Traditional Arabic" w:cs="Traditional Arabic"/>
          <w:sz w:val="36"/>
          <w:szCs w:val="36"/>
        </w:rPr>
      </w:pPr>
    </w:p>
    <w:p w14:paraId="70745D7E" w14:textId="77777777" w:rsidR="00AB1B45" w:rsidRDefault="00000000">
      <w:pPr>
        <w:pStyle w:val="Heading3"/>
      </w:pPr>
      <w:bookmarkStart w:id="2" w:name="_heading=h.m23cr45cjciy" w:colFirst="0" w:colLast="0"/>
      <w:bookmarkEnd w:id="2"/>
      <w:r>
        <w:rPr>
          <w:color w:val="1C4587"/>
          <w:rtl/>
        </w:rPr>
        <w:t>الدعوة إلى النجاة</w:t>
      </w:r>
    </w:p>
    <w:p w14:paraId="3B339074"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القارئ: قال: وبعدُ: فهذهِ دعوةٌ إلى النَّجاةِ، أتقدَّمُ بها لكلِّ عاقلٍ في الوجودِ -ذكرًا أو أنثى- راجيًا مِن اللهِ العلي القديرِ أنْ يُسعِدَ بها مَن ضَلَّ عَن سبيلِهِ، وَيُثِيْبُنِي وكلَّ مَنْ يُساهمُ في نشرِها أجزلَ الثوابِ، فأقولُ واللهُ المستعان:</w:t>
      </w:r>
    </w:p>
    <w:p w14:paraId="44397859" w14:textId="05CAAD96"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lastRenderedPageBreak/>
        <w:t xml:space="preserve">الشيخ: </w:t>
      </w:r>
      <w:r>
        <w:rPr>
          <w:rFonts w:ascii="Traditional Arabic" w:eastAsia="Traditional Arabic" w:hAnsi="Traditional Arabic" w:cs="Traditional Arabic"/>
          <w:sz w:val="36"/>
          <w:szCs w:val="36"/>
          <w:rtl/>
        </w:rPr>
        <w:t>أما بعدُ</w:t>
      </w:r>
      <w:r w:rsidR="005C5742">
        <w:rPr>
          <w:rFonts w:ascii="Traditional Arabic" w:eastAsia="Traditional Arabic" w:hAnsi="Traditional Arabic" w:cs="Traditional Arabic" w:hint="cs"/>
          <w:sz w:val="36"/>
          <w:szCs w:val="36"/>
          <w:rtl/>
        </w:rPr>
        <w:t>،</w:t>
      </w:r>
    </w:p>
    <w:p w14:paraId="6BCACFBD" w14:textId="4B71F476"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القارئ: أمَّا بعدُ: اعلمْ أيُّها الإنسانُ العاقلُ أنَّه لا نجاةَ ولا سعادةَ لكَ في هذهِ الحياةِ، وفي الحياةِ الآخرةِ بعدَ المماتِ إلا إذا عرفتَ ربَّكَ الذي خلقَكَ، وآمنتَ بِه وعبدتَهُ وحدَهُ، وعرفتَ نبيِّكَ الذي بعثَهُ ربُّكَ إليكَ، وإلى جميعِ الناسِ، فآمنتَ بِه واتبعتَهُ، وعرفتَ دِينَ الحقِّ الذي أمركَ بِه ربُّكَ، وآمنتَ بِه، وعملتَ بِه</w:t>
      </w:r>
      <w:r w:rsidR="005C5742">
        <w:rPr>
          <w:rFonts w:ascii="Traditional Arabic" w:eastAsia="Traditional Arabic" w:hAnsi="Traditional Arabic" w:cs="Traditional Arabic" w:hint="cs"/>
          <w:b/>
          <w:sz w:val="36"/>
          <w:szCs w:val="36"/>
          <w:rtl/>
        </w:rPr>
        <w:t>.</w:t>
      </w:r>
    </w:p>
    <w:p w14:paraId="5E906498" w14:textId="77777777" w:rsidR="00AB1B45" w:rsidRDefault="00000000">
      <w:pPr>
        <w:pStyle w:val="Heading3"/>
      </w:pPr>
      <w:bookmarkStart w:id="3" w:name="_heading=h.ln5rita96iry" w:colFirst="0" w:colLast="0"/>
      <w:bookmarkEnd w:id="3"/>
      <w:r>
        <w:rPr>
          <w:color w:val="1C4587"/>
          <w:rtl/>
        </w:rPr>
        <w:t>الأصول الثلاثة</w:t>
      </w:r>
    </w:p>
    <w:p w14:paraId="646FFA73"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 xml:space="preserve">هذهِ هي </w:t>
      </w:r>
      <w:hyperlink r:id="rId7">
        <w:r w:rsidR="00AB1B45">
          <w:rPr>
            <w:rFonts w:ascii="Traditional Arabic" w:eastAsia="Traditional Arabic" w:hAnsi="Traditional Arabic" w:cs="Traditional Arabic"/>
            <w:color w:val="1155CC"/>
            <w:sz w:val="36"/>
            <w:szCs w:val="36"/>
            <w:u w:val="single"/>
            <w:rtl/>
          </w:rPr>
          <w:t>الأصول</w:t>
        </w:r>
      </w:hyperlink>
      <w:hyperlink r:id="rId8">
        <w:r w:rsidR="00AB1B45">
          <w:rPr>
            <w:rFonts w:ascii="Traditional Arabic" w:eastAsia="Traditional Arabic" w:hAnsi="Traditional Arabic" w:cs="Traditional Arabic"/>
            <w:color w:val="1155CC"/>
            <w:sz w:val="36"/>
            <w:szCs w:val="36"/>
            <w:u w:val="single"/>
            <w:rtl/>
          </w:rPr>
          <w:t xml:space="preserve">ُ </w:t>
        </w:r>
      </w:hyperlink>
      <w:hyperlink r:id="rId9">
        <w:r>
          <w:rPr>
            <w:rFonts w:ascii="Traditional Arabic" w:eastAsia="Traditional Arabic" w:hAnsi="Traditional Arabic" w:cs="Traditional Arabic"/>
            <w:color w:val="1155CC"/>
            <w:sz w:val="36"/>
            <w:szCs w:val="36"/>
            <w:u w:val="single"/>
            <w:rtl/>
          </w:rPr>
          <w:t>الثلاثة</w:t>
        </w:r>
      </w:hyperlink>
      <w:hyperlink r:id="rId10">
        <w:r>
          <w:rPr>
            <w:rFonts w:ascii="Traditional Arabic" w:eastAsia="Traditional Arabic" w:hAnsi="Traditional Arabic" w:cs="Traditional Arabic"/>
            <w:color w:val="1155CC"/>
            <w:sz w:val="36"/>
            <w:szCs w:val="36"/>
            <w:u w:val="single"/>
            <w:rtl/>
          </w:rPr>
          <w:t>ُ</w:t>
        </w:r>
      </w:hyperlink>
      <w:r>
        <w:rPr>
          <w:rFonts w:ascii="Traditional Arabic" w:eastAsia="Traditional Arabic" w:hAnsi="Traditional Arabic" w:cs="Traditional Arabic"/>
          <w:sz w:val="36"/>
          <w:szCs w:val="36"/>
          <w:rtl/>
        </w:rPr>
        <w:t xml:space="preserve"> التي تضمنتْهَا الرسالةُ القيمةُ المشهورةُ: "ثلاثة الأصول" أو "الأصول الثلاثة" للإمام المجدِّد محمَّد بنُ عبد الوهاب، فالشيخُ قصدَ تقريرَ هذه الأصولِ الثلاثةِ وهي يُعبَّرُ عنها بمسائلِ القبرِ التي يُسألُ عنها الميت في قبره: مَن ربُّكَ؟ وما دينُكَ؟ ومن نبيُّكَ؟</w:t>
      </w:r>
      <w:r>
        <w:rPr>
          <w:rFonts w:ascii="Traditional Arabic" w:eastAsia="Traditional Arabic" w:hAnsi="Traditional Arabic" w:cs="Traditional Arabic"/>
          <w:b/>
          <w:sz w:val="36"/>
          <w:szCs w:val="36"/>
        </w:rPr>
        <w:t xml:space="preserve"> </w:t>
      </w:r>
    </w:p>
    <w:p w14:paraId="36E808CF"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 القارئ: قال: وهذا الكتابُ الذي بينَ يديكَ "دينُ الحق" فيهِ البيانُ لهذهِ الأمورِ العظيمةِ التي يجبُ عليكَ معرفتُها والعملُ بها، وقد ذكرتُ في الحاشيةِ ما تحتاجُ إليهِ بعضُ الكلماتِ والمسائلِ مِن زيادةِ إيضاحٍ، معتمدًا في ذلكَ كلِّه على كلامِ الله تعالى وأحاديثِ رسولِه عليهِ الصلاةُ والسلامُ؛ لأنَّهما المرجعُ الوحيدُ لدِيْنِ الحقِّ الذي لا يَقبلُ اللهُ مِن أحدٍ دينا سِواهُ.</w:t>
      </w:r>
    </w:p>
    <w:p w14:paraId="7EA6D0C7"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المرجعُ في معرفةِ الدين هو: الكتابُ والسنة، هذا معنى كلامه، الطريقُ في معرفةِ دِينِ الإسلامِ وما تضمَّنَهُ مِن عقائد وشرائع هو الكتابُ والسُّنة، هما المصدرُ لمعرفةِ مسائلِ الدِّين العلمية الاعتقادية، والمسائل العمليّة.</w:t>
      </w:r>
      <w:r>
        <w:rPr>
          <w:rFonts w:ascii="Traditional Arabic" w:eastAsia="Traditional Arabic" w:hAnsi="Traditional Arabic" w:cs="Traditional Arabic"/>
          <w:b/>
          <w:sz w:val="36"/>
          <w:szCs w:val="36"/>
        </w:rPr>
        <w:t xml:space="preserve"> </w:t>
      </w:r>
    </w:p>
    <w:p w14:paraId="60A44B7E" w14:textId="77777777" w:rsidR="00AB1B45" w:rsidRDefault="00000000">
      <w:pPr>
        <w:pStyle w:val="Heading3"/>
      </w:pPr>
      <w:bookmarkStart w:id="4" w:name="_heading=h.v1u3jrrienuz" w:colFirst="0" w:colLast="0"/>
      <w:bookmarkEnd w:id="4"/>
      <w:r>
        <w:rPr>
          <w:color w:val="1C4587"/>
          <w:rtl/>
        </w:rPr>
        <w:t>ذم التقليد الأعمى</w:t>
      </w:r>
    </w:p>
    <w:p w14:paraId="19F0FB84"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القارئ: وقد تركتُ التقليدَ الأعمى الذي أضلَّ كثيرًا مِن الناسِ، بلْ وذكرتُ جملةً مِن الطوائفِ الضالَّةِ التي تَدَّعِي أنَّها على الحقِّ، وهي بعيدةٌ عنْه، لكي يحذرَها الجاهلونَ بحالِها مِن المنتمينَ إليها وغيرِهم، واللهُ حسبي ونعمَ الوكيل.</w:t>
      </w:r>
    </w:p>
    <w:p w14:paraId="4CEDA928" w14:textId="46D8CA03"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تقول مرة أخرى العبارة</w:t>
      </w:r>
      <w:r w:rsidR="005C5742">
        <w:rPr>
          <w:rFonts w:ascii="Traditional Arabic" w:eastAsia="Traditional Arabic" w:hAnsi="Traditional Arabic" w:cs="Traditional Arabic" w:hint="cs"/>
          <w:sz w:val="36"/>
          <w:szCs w:val="36"/>
          <w:rtl/>
        </w:rPr>
        <w:t>..</w:t>
      </w:r>
    </w:p>
    <w:p w14:paraId="547F31D5"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القارئ: وقد تركتُ التقليدَ الأعمى الذي أضلَّ كثيرًا مِن الناسِ، بلْ وذكرتُ جملةً مِن الطوائفِ</w:t>
      </w:r>
    </w:p>
    <w:p w14:paraId="2EA78B1A" w14:textId="77777777"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 xml:space="preserve">هو معروفٌ بتحري الدَّليل في مسائلِ الاحكامِ، فهو لا يلتزمُ بمذهبٍ ولا </w:t>
      </w:r>
      <w:proofErr w:type="spellStart"/>
      <w:r>
        <w:rPr>
          <w:rFonts w:ascii="Traditional Arabic" w:eastAsia="Traditional Arabic" w:hAnsi="Traditional Arabic" w:cs="Traditional Arabic"/>
          <w:sz w:val="36"/>
          <w:szCs w:val="36"/>
          <w:rtl/>
        </w:rPr>
        <w:t>يَتَمَذهَبُ</w:t>
      </w:r>
      <w:proofErr w:type="spellEnd"/>
      <w:r>
        <w:rPr>
          <w:rFonts w:ascii="Traditional Arabic" w:eastAsia="Traditional Arabic" w:hAnsi="Traditional Arabic" w:cs="Traditional Arabic"/>
          <w:sz w:val="36"/>
          <w:szCs w:val="36"/>
          <w:rtl/>
        </w:rPr>
        <w:t xml:space="preserve">، فمنهجُه منهجُ أهلِ الحديثِ، ولهذا يقول: "إني تركتُ التقليد"، وكثيرٌ مِن المنتسبين إلى المذاهبِ كثيرٌ منهم </w:t>
      </w:r>
      <w:hyperlink r:id="rId11">
        <w:r w:rsidR="00AB1B45">
          <w:rPr>
            <w:rFonts w:ascii="Traditional Arabic" w:eastAsia="Traditional Arabic" w:hAnsi="Traditional Arabic" w:cs="Traditional Arabic"/>
            <w:color w:val="1155CC"/>
            <w:sz w:val="36"/>
            <w:szCs w:val="36"/>
            <w:u w:val="single"/>
            <w:rtl/>
          </w:rPr>
          <w:t>م</w:t>
        </w:r>
      </w:hyperlink>
      <w:hyperlink r:id="rId12">
        <w:r w:rsidR="00AB1B45">
          <w:rPr>
            <w:rFonts w:ascii="Traditional Arabic" w:eastAsia="Traditional Arabic" w:hAnsi="Traditional Arabic" w:cs="Traditional Arabic"/>
            <w:color w:val="1155CC"/>
            <w:sz w:val="36"/>
            <w:szCs w:val="36"/>
            <w:u w:val="single"/>
            <w:rtl/>
          </w:rPr>
          <w:t>ُ</w:t>
        </w:r>
      </w:hyperlink>
      <w:hyperlink r:id="rId13">
        <w:r w:rsidR="00AB1B45">
          <w:rPr>
            <w:rFonts w:ascii="Traditional Arabic" w:eastAsia="Traditional Arabic" w:hAnsi="Traditional Arabic" w:cs="Traditional Arabic"/>
            <w:color w:val="1155CC"/>
            <w:sz w:val="36"/>
            <w:szCs w:val="36"/>
            <w:u w:val="single"/>
            <w:rtl/>
          </w:rPr>
          <w:t>قل</w:t>
        </w:r>
      </w:hyperlink>
      <w:hyperlink r:id="rId14">
        <w:r w:rsidR="00AB1B45">
          <w:rPr>
            <w:rFonts w:ascii="Traditional Arabic" w:eastAsia="Traditional Arabic" w:hAnsi="Traditional Arabic" w:cs="Traditional Arabic"/>
            <w:color w:val="1155CC"/>
            <w:sz w:val="36"/>
            <w:szCs w:val="36"/>
            <w:u w:val="single"/>
            <w:rtl/>
          </w:rPr>
          <w:t>ِّ</w:t>
        </w:r>
      </w:hyperlink>
      <w:hyperlink r:id="rId15">
        <w:r w:rsidR="00AB1B45">
          <w:rPr>
            <w:rFonts w:ascii="Traditional Arabic" w:eastAsia="Traditional Arabic" w:hAnsi="Traditional Arabic" w:cs="Traditional Arabic"/>
            <w:color w:val="1155CC"/>
            <w:sz w:val="36"/>
            <w:szCs w:val="36"/>
            <w:u w:val="single"/>
            <w:rtl/>
          </w:rPr>
          <w:t>دون</w:t>
        </w:r>
      </w:hyperlink>
      <w:hyperlink r:id="rId16">
        <w:r w:rsidR="00AB1B45">
          <w:rPr>
            <w:rFonts w:ascii="Traditional Arabic" w:eastAsia="Traditional Arabic" w:hAnsi="Traditional Arabic" w:cs="Traditional Arabic"/>
            <w:color w:val="1155CC"/>
            <w:sz w:val="36"/>
            <w:szCs w:val="36"/>
            <w:u w:val="single"/>
            <w:rtl/>
          </w:rPr>
          <w:t xml:space="preserve"> </w:t>
        </w:r>
      </w:hyperlink>
      <w:hyperlink r:id="rId17">
        <w:r w:rsidR="00AB1B45">
          <w:rPr>
            <w:rFonts w:ascii="Traditional Arabic" w:eastAsia="Traditional Arabic" w:hAnsi="Traditional Arabic" w:cs="Traditional Arabic"/>
            <w:color w:val="1155CC"/>
            <w:sz w:val="36"/>
            <w:szCs w:val="36"/>
            <w:u w:val="single"/>
            <w:rtl/>
          </w:rPr>
          <w:t>للأئم</w:t>
        </w:r>
      </w:hyperlink>
      <w:hyperlink r:id="rId18">
        <w:r w:rsidR="00AB1B45">
          <w:rPr>
            <w:rFonts w:ascii="Traditional Arabic" w:eastAsia="Traditional Arabic" w:hAnsi="Traditional Arabic" w:cs="Traditional Arabic"/>
            <w:color w:val="1155CC"/>
            <w:sz w:val="36"/>
            <w:szCs w:val="36"/>
            <w:u w:val="single"/>
            <w:rtl/>
          </w:rPr>
          <w:t>َّ</w:t>
        </w:r>
      </w:hyperlink>
      <w:hyperlink r:id="rId19">
        <w:r w:rsidR="00AB1B45">
          <w:rPr>
            <w:rFonts w:ascii="Traditional Arabic" w:eastAsia="Traditional Arabic" w:hAnsi="Traditional Arabic" w:cs="Traditional Arabic"/>
            <w:color w:val="1155CC"/>
            <w:sz w:val="36"/>
            <w:szCs w:val="36"/>
            <w:u w:val="single"/>
            <w:rtl/>
          </w:rPr>
          <w:t>ة</w:t>
        </w:r>
      </w:hyperlink>
      <w:hyperlink r:id="rId20">
        <w:r w:rsidR="00AB1B45">
          <w:rPr>
            <w:rFonts w:ascii="Traditional Arabic" w:eastAsia="Traditional Arabic" w:hAnsi="Traditional Arabic" w:cs="Traditional Arabic"/>
            <w:color w:val="1155CC"/>
            <w:sz w:val="36"/>
            <w:szCs w:val="36"/>
            <w:u w:val="single"/>
            <w:rtl/>
          </w:rPr>
          <w:t xml:space="preserve">ِ </w:t>
        </w:r>
      </w:hyperlink>
      <w:hyperlink r:id="rId21">
        <w:r w:rsidR="00AB1B45">
          <w:rPr>
            <w:rFonts w:ascii="Traditional Arabic" w:eastAsia="Traditional Arabic" w:hAnsi="Traditional Arabic" w:cs="Traditional Arabic"/>
            <w:color w:val="1155CC"/>
            <w:sz w:val="36"/>
            <w:szCs w:val="36"/>
            <w:u w:val="single"/>
            <w:rtl/>
          </w:rPr>
          <w:t>الذين</w:t>
        </w:r>
      </w:hyperlink>
      <w:hyperlink r:id="rId22">
        <w:r w:rsidR="00AB1B45">
          <w:rPr>
            <w:rFonts w:ascii="Traditional Arabic" w:eastAsia="Traditional Arabic" w:hAnsi="Traditional Arabic" w:cs="Traditional Arabic"/>
            <w:color w:val="1155CC"/>
            <w:sz w:val="36"/>
            <w:szCs w:val="36"/>
            <w:u w:val="single"/>
            <w:rtl/>
          </w:rPr>
          <w:t xml:space="preserve"> </w:t>
        </w:r>
      </w:hyperlink>
      <w:hyperlink r:id="rId23">
        <w:r w:rsidR="00AB1B45">
          <w:rPr>
            <w:rFonts w:ascii="Traditional Arabic" w:eastAsia="Traditional Arabic" w:hAnsi="Traditional Arabic" w:cs="Traditional Arabic"/>
            <w:color w:val="1155CC"/>
            <w:sz w:val="36"/>
            <w:szCs w:val="36"/>
            <w:u w:val="single"/>
            <w:rtl/>
          </w:rPr>
          <w:t>ينتمون</w:t>
        </w:r>
      </w:hyperlink>
      <w:hyperlink r:id="rId24">
        <w:r w:rsidR="00AB1B45">
          <w:rPr>
            <w:rFonts w:ascii="Traditional Arabic" w:eastAsia="Traditional Arabic" w:hAnsi="Traditional Arabic" w:cs="Traditional Arabic"/>
            <w:color w:val="1155CC"/>
            <w:sz w:val="36"/>
            <w:szCs w:val="36"/>
            <w:u w:val="single"/>
            <w:rtl/>
          </w:rPr>
          <w:t xml:space="preserve">َ </w:t>
        </w:r>
      </w:hyperlink>
      <w:hyperlink r:id="rId25">
        <w:r w:rsidR="00AB1B45">
          <w:rPr>
            <w:rFonts w:ascii="Traditional Arabic" w:eastAsia="Traditional Arabic" w:hAnsi="Traditional Arabic" w:cs="Traditional Arabic"/>
            <w:color w:val="1155CC"/>
            <w:sz w:val="36"/>
            <w:szCs w:val="36"/>
            <w:u w:val="single"/>
            <w:rtl/>
          </w:rPr>
          <w:t>إليهم</w:t>
        </w:r>
      </w:hyperlink>
      <w:r>
        <w:rPr>
          <w:rFonts w:ascii="Traditional Arabic" w:eastAsia="Traditional Arabic" w:hAnsi="Traditional Arabic" w:cs="Traditional Arabic"/>
          <w:sz w:val="36"/>
          <w:szCs w:val="36"/>
          <w:rtl/>
        </w:rPr>
        <w:t xml:space="preserve">، والشيخُ -رحمه الله- عندَه هذه النَّزعة -نَزعةُ عدمِ المذهبية، وعدمُ التقليد، والتعويلُ على الدَّليل في كل ما يُطرَحُ مِن المسائلِ العقدية والعمليَّة مِن مسائلِ الأحكام-، ولا شكَّ أنَّ هذا المنهج قيِّم عظيمٌ </w:t>
      </w:r>
      <w:r>
        <w:rPr>
          <w:rFonts w:ascii="Traditional Arabic" w:eastAsia="Traditional Arabic" w:hAnsi="Traditional Arabic" w:cs="Traditional Arabic"/>
          <w:sz w:val="36"/>
          <w:szCs w:val="36"/>
          <w:rtl/>
        </w:rPr>
        <w:lastRenderedPageBreak/>
        <w:t xml:space="preserve">فيه حرية، وتجرّد عن التعصب وعن التَّبعية؛ لأنَّه مِن منطلق أنَّ كُلًّا يُؤخذ من قوله ويُردُّ إلا الرسول صلَّى الله عليه وسلَّمَ، وإنِ انتفعَ مَن ينحو هذا النَّحي ليسَ معناه رفضٌ لأقوالِ أهلِ العلم وعدمِ الاستفادة منها، لكن </w:t>
      </w:r>
      <w:proofErr w:type="spellStart"/>
      <w:r>
        <w:rPr>
          <w:rFonts w:ascii="Traditional Arabic" w:eastAsia="Traditional Arabic" w:hAnsi="Traditional Arabic" w:cs="Traditional Arabic"/>
          <w:sz w:val="36"/>
          <w:szCs w:val="36"/>
          <w:rtl/>
        </w:rPr>
        <w:t>مقصودُه</w:t>
      </w:r>
      <w:proofErr w:type="spellEnd"/>
      <w:r>
        <w:rPr>
          <w:rFonts w:ascii="Traditional Arabic" w:eastAsia="Traditional Arabic" w:hAnsi="Traditional Arabic" w:cs="Traditional Arabic"/>
          <w:sz w:val="36"/>
          <w:szCs w:val="36"/>
          <w:rtl/>
        </w:rPr>
        <w:t xml:space="preserve"> عدمُ التعصب لتلكَ المذاهب، وعدمِ التقيُّدِ بها، وهذا ما أوصى بِه الأئمةُ نفسُ الأئمةِ الأربعة وغيرُهم أوصوا بعدمِ التعصُّبِ لأقوالِهم، وأنَّه مَن ظهر له..، استبانَتْ له السُّنة لا يَحلُّ له أن يعدلَ عنها لقولِ أحدٍ مِن الناسِ، فالشيخُ في هذا المنهجِ هو في الحقيقة مُتبعٌ لا مُبتدِعٌ. </w:t>
      </w:r>
    </w:p>
    <w:p w14:paraId="6C902C4D" w14:textId="77777777"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القارئ: وقد تركتُ التقليدَ الأعمى الذي أضلَّ كثيرًا مِن الناسِ، بلْ وذكرتُ جملةً مِن الطوائفِ الضالَّةِ التي تَدَّعِي أنَّها على الحقِّ، وهي بعيدةٌ عنْه، لكي يحذرَها الجاهلونَ بحالِها مِن المنتمينَ إليها وغيرِهم، واللهُ حسبي ونعمَ الوكيل.</w:t>
      </w:r>
    </w:p>
    <w:p w14:paraId="7200673A" w14:textId="77777777" w:rsidR="00AB1B45" w:rsidRDefault="00000000">
      <w:pPr>
        <w:pStyle w:val="Heading3"/>
      </w:pPr>
      <w:bookmarkStart w:id="5" w:name="_heading=h.282pkwvzbpdr" w:colFirst="0" w:colLast="0"/>
      <w:bookmarkEnd w:id="5"/>
      <w:r>
        <w:rPr>
          <w:color w:val="1C4587"/>
          <w:rtl/>
        </w:rPr>
        <w:t>الطائفة المنصورة</w:t>
      </w:r>
    </w:p>
    <w:p w14:paraId="14851395" w14:textId="77777777"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 xml:space="preserve">كثيرٌ مِن الطوائف المنتسبة للإسلام يدَّعون أنَّهم هم الطائفةُ المنصورة، والأمرُ بخلافِ ما يقولونَ، </w:t>
      </w:r>
      <w:hyperlink r:id="rId26">
        <w:r w:rsidR="00AB1B45">
          <w:rPr>
            <w:rFonts w:ascii="Traditional Arabic" w:eastAsia="Traditional Arabic" w:hAnsi="Traditional Arabic" w:cs="Traditional Arabic"/>
            <w:color w:val="1155CC"/>
            <w:sz w:val="36"/>
            <w:szCs w:val="36"/>
            <w:u w:val="single"/>
            <w:rtl/>
          </w:rPr>
          <w:t>فالطائفة</w:t>
        </w:r>
      </w:hyperlink>
      <w:hyperlink r:id="rId27">
        <w:r w:rsidR="00AB1B45">
          <w:rPr>
            <w:rFonts w:ascii="Traditional Arabic" w:eastAsia="Traditional Arabic" w:hAnsi="Traditional Arabic" w:cs="Traditional Arabic"/>
            <w:color w:val="1155CC"/>
            <w:sz w:val="36"/>
            <w:szCs w:val="36"/>
            <w:u w:val="single"/>
            <w:rtl/>
          </w:rPr>
          <w:t xml:space="preserve">ُ </w:t>
        </w:r>
      </w:hyperlink>
      <w:hyperlink r:id="rId28">
        <w:r w:rsidR="00AB1B45">
          <w:rPr>
            <w:rFonts w:ascii="Traditional Arabic" w:eastAsia="Traditional Arabic" w:hAnsi="Traditional Arabic" w:cs="Traditional Arabic"/>
            <w:color w:val="1155CC"/>
            <w:sz w:val="36"/>
            <w:szCs w:val="36"/>
            <w:u w:val="single"/>
            <w:rtl/>
          </w:rPr>
          <w:t>المنصورة</w:t>
        </w:r>
      </w:hyperlink>
      <w:hyperlink r:id="rId29">
        <w:r w:rsidR="00AB1B45">
          <w:rPr>
            <w:rFonts w:ascii="Traditional Arabic" w:eastAsia="Traditional Arabic" w:hAnsi="Traditional Arabic" w:cs="Traditional Arabic"/>
            <w:color w:val="1155CC"/>
            <w:sz w:val="36"/>
            <w:szCs w:val="36"/>
            <w:u w:val="single"/>
            <w:rtl/>
          </w:rPr>
          <w:t xml:space="preserve"> </w:t>
        </w:r>
      </w:hyperlink>
      <w:hyperlink r:id="rId30">
        <w:r w:rsidR="00AB1B45">
          <w:rPr>
            <w:rFonts w:ascii="Traditional Arabic" w:eastAsia="Traditional Arabic" w:hAnsi="Traditional Arabic" w:cs="Traditional Arabic"/>
            <w:color w:val="1155CC"/>
            <w:sz w:val="36"/>
            <w:szCs w:val="36"/>
            <w:u w:val="single"/>
            <w:rtl/>
          </w:rPr>
          <w:t>الن</w:t>
        </w:r>
      </w:hyperlink>
      <w:hyperlink r:id="rId31">
        <w:r w:rsidR="00AB1B45">
          <w:rPr>
            <w:rFonts w:ascii="Traditional Arabic" w:eastAsia="Traditional Arabic" w:hAnsi="Traditional Arabic" w:cs="Traditional Arabic"/>
            <w:color w:val="1155CC"/>
            <w:sz w:val="36"/>
            <w:szCs w:val="36"/>
            <w:u w:val="single"/>
            <w:rtl/>
          </w:rPr>
          <w:t>َّ</w:t>
        </w:r>
      </w:hyperlink>
      <w:hyperlink r:id="rId32">
        <w:r w:rsidR="00AB1B45">
          <w:rPr>
            <w:rFonts w:ascii="Traditional Arabic" w:eastAsia="Traditional Arabic" w:hAnsi="Traditional Arabic" w:cs="Traditional Arabic"/>
            <w:color w:val="1155CC"/>
            <w:sz w:val="36"/>
            <w:szCs w:val="36"/>
            <w:u w:val="single"/>
            <w:rtl/>
          </w:rPr>
          <w:t>اجية</w:t>
        </w:r>
      </w:hyperlink>
      <w:r>
        <w:rPr>
          <w:rFonts w:ascii="Traditional Arabic" w:eastAsia="Traditional Arabic" w:hAnsi="Traditional Arabic" w:cs="Traditional Arabic"/>
          <w:sz w:val="36"/>
          <w:szCs w:val="36"/>
          <w:rtl/>
        </w:rPr>
        <w:t xml:space="preserve"> هِيَ مَن بَيَّنَهُم الرسولُ في قوله، قيل: مَن هي يا رسول الله؟ قال: </w:t>
      </w:r>
      <w:r>
        <w:rPr>
          <w:rFonts w:ascii="Traditional Arabic" w:eastAsia="Traditional Arabic" w:hAnsi="Traditional Arabic" w:cs="Traditional Arabic"/>
          <w:color w:val="0070C0"/>
          <w:sz w:val="36"/>
          <w:szCs w:val="36"/>
          <w:rtl/>
        </w:rPr>
        <w:t>(الجماعةُ)،</w:t>
      </w:r>
      <w:r>
        <w:rPr>
          <w:rFonts w:ascii="Traditional Arabic" w:eastAsia="Traditional Arabic" w:hAnsi="Traditional Arabic" w:cs="Traditional Arabic"/>
          <w:sz w:val="36"/>
          <w:szCs w:val="36"/>
          <w:rtl/>
        </w:rPr>
        <w:t xml:space="preserve"> وفي لفظ: </w:t>
      </w:r>
      <w:r>
        <w:rPr>
          <w:rFonts w:ascii="Traditional Arabic" w:eastAsia="Traditional Arabic" w:hAnsi="Traditional Arabic" w:cs="Traditional Arabic"/>
          <w:color w:val="0070C0"/>
          <w:sz w:val="36"/>
          <w:szCs w:val="36"/>
          <w:rtl/>
        </w:rPr>
        <w:t>(مَن كانَ على مثلِ ما أنَا عليهِ اليومَ وأصحابِي)</w:t>
      </w:r>
      <w:r>
        <w:rPr>
          <w:rFonts w:ascii="Traditional Arabic" w:eastAsia="Traditional Arabic" w:hAnsi="Traditional Arabic" w:cs="Traditional Arabic"/>
          <w:sz w:val="36"/>
          <w:szCs w:val="36"/>
          <w:rtl/>
        </w:rPr>
        <w:t xml:space="preserve"> فمَن كانَ على هدي الرسولِ وهدي صحابتِه فهو الذي على الحقِّ، وكلٌّ يدَّعي..، كما يقول الشاعر:</w:t>
      </w:r>
    </w:p>
    <w:p w14:paraId="504D0A2D" w14:textId="27B0A85C"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وكلٌّ يدَّعي وَصلًا لِليلى      وليلَى لا تُقِرُّ لهمْ بذلك</w:t>
      </w:r>
      <w:r w:rsidR="005C5742">
        <w:rPr>
          <w:rFonts w:ascii="Traditional Arabic" w:eastAsia="Traditional Arabic" w:hAnsi="Traditional Arabic" w:cs="Traditional Arabic" w:hint="cs"/>
          <w:sz w:val="36"/>
          <w:szCs w:val="36"/>
          <w:rtl/>
        </w:rPr>
        <w:t>ْ</w:t>
      </w:r>
    </w:p>
    <w:p w14:paraId="368C5264" w14:textId="5BCC6E7A" w:rsidR="00AB1B4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نعم</w:t>
      </w:r>
      <w:r w:rsidR="005C5742">
        <w:rPr>
          <w:rFonts w:ascii="Traditional Arabic" w:eastAsia="Traditional Arabic" w:hAnsi="Traditional Arabic" w:cs="Traditional Arabic" w:hint="cs"/>
          <w:sz w:val="36"/>
          <w:szCs w:val="36"/>
          <w:rtl/>
        </w:rPr>
        <w:t>.</w:t>
      </w:r>
    </w:p>
    <w:p w14:paraId="40418B56" w14:textId="4CB8C68C"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القارئ: قالَ رحمه الله: الفصلُ الأولُ: معرفةُ اللهِ الخالقِ العظيمِ</w:t>
      </w:r>
      <w:r w:rsidR="005C5742">
        <w:rPr>
          <w:rFonts w:ascii="Traditional Arabic" w:eastAsia="Traditional Arabic" w:hAnsi="Traditional Arabic" w:cs="Traditional Arabic" w:hint="cs"/>
          <w:b/>
          <w:sz w:val="36"/>
          <w:szCs w:val="36"/>
          <w:rtl/>
        </w:rPr>
        <w:t>.</w:t>
      </w:r>
    </w:p>
    <w:p w14:paraId="2D8B473F" w14:textId="67A5B98E" w:rsidR="00AB1B4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إلى هنا يا شيخ، نعم يا محمد</w:t>
      </w:r>
      <w:r w:rsidR="005C5742">
        <w:rPr>
          <w:rFonts w:ascii="Traditional Arabic" w:eastAsia="Traditional Arabic" w:hAnsi="Traditional Arabic" w:cs="Traditional Arabic" w:hint="cs"/>
          <w:sz w:val="36"/>
          <w:szCs w:val="36"/>
          <w:rtl/>
        </w:rPr>
        <w:t>.</w:t>
      </w:r>
    </w:p>
    <w:p w14:paraId="53391008" w14:textId="77777777" w:rsidR="00AB1B45" w:rsidRDefault="00AB1B45">
      <w:bookmarkStart w:id="6" w:name="_heading=h.qsdi9ehmqjd0" w:colFirst="0" w:colLast="0"/>
      <w:bookmarkEnd w:id="6"/>
    </w:p>
    <w:p w14:paraId="4F28DC12" w14:textId="77777777" w:rsidR="00AB1B45" w:rsidRDefault="00AB1B45">
      <w:pPr>
        <w:rPr>
          <w:b/>
          <w:color w:val="FF0000"/>
        </w:rPr>
      </w:pPr>
      <w:bookmarkStart w:id="7" w:name="_heading=h.7tbr64m1xkwm" w:colFirst="0" w:colLast="0"/>
      <w:bookmarkEnd w:id="7"/>
    </w:p>
    <w:sectPr w:rsidR="00AB1B45">
      <w:headerReference w:type="default" r:id="rId33"/>
      <w:footerReference w:type="default" r:id="rId34"/>
      <w:pgSz w:w="11906" w:h="16838"/>
      <w:pgMar w:top="1411" w:right="1134" w:bottom="1276" w:left="1134" w:header="3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1BBD" w14:textId="77777777" w:rsidR="00E11421" w:rsidRDefault="00E11421">
      <w:r>
        <w:separator/>
      </w:r>
    </w:p>
  </w:endnote>
  <w:endnote w:type="continuationSeparator" w:id="0">
    <w:p w14:paraId="76E41436" w14:textId="77777777" w:rsidR="00E11421" w:rsidRDefault="00E1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26D" w14:textId="77777777" w:rsidR="00AB1B45" w:rsidRDefault="00AB1B45">
    <w:pPr>
      <w:widowControl w:val="0"/>
      <w:pBdr>
        <w:top w:val="nil"/>
        <w:left w:val="nil"/>
        <w:bottom w:val="nil"/>
        <w:right w:val="nil"/>
        <w:between w:val="nil"/>
      </w:pBdr>
      <w:spacing w:line="276" w:lineRule="auto"/>
      <w:jc w:val="left"/>
      <w:rPr>
        <w:color w:val="000000"/>
        <w:sz w:val="28"/>
        <w:szCs w:val="28"/>
      </w:rPr>
    </w:pPr>
  </w:p>
  <w:tbl>
    <w:tblPr>
      <w:tblStyle w:val="a0"/>
      <w:bidiVisual/>
      <w:tblW w:w="9868" w:type="dxa"/>
      <w:tblInd w:w="-115" w:type="dxa"/>
      <w:tblLayout w:type="fixed"/>
      <w:tblLook w:val="0400" w:firstRow="0" w:lastRow="0" w:firstColumn="0" w:lastColumn="0" w:noHBand="0" w:noVBand="1"/>
    </w:tblPr>
    <w:tblGrid>
      <w:gridCol w:w="8881"/>
      <w:gridCol w:w="987"/>
    </w:tblGrid>
    <w:tr w:rsidR="00AB1B45" w14:paraId="279DEBB2" w14:textId="77777777">
      <w:tc>
        <w:tcPr>
          <w:tcW w:w="8881" w:type="dxa"/>
          <w:tcBorders>
            <w:top w:val="single" w:sz="4" w:space="0" w:color="000000"/>
          </w:tcBorders>
        </w:tcPr>
        <w:p w14:paraId="414FB655" w14:textId="77777777" w:rsidR="00AB1B45" w:rsidRDefault="00000000">
          <w:pPr>
            <w:pBdr>
              <w:top w:val="nil"/>
              <w:left w:val="nil"/>
              <w:bottom w:val="nil"/>
              <w:right w:val="nil"/>
              <w:between w:val="nil"/>
            </w:pBdr>
            <w:tabs>
              <w:tab w:val="center" w:pos="4153"/>
              <w:tab w:val="right" w:pos="8306"/>
            </w:tabs>
            <w:jc w:val="right"/>
            <w:rPr>
              <w:rFonts w:ascii="Sakkal Majalla" w:eastAsia="Sakkal Majalla" w:hAnsi="Sakkal Majalla" w:cs="Sakkal Majalla"/>
              <w:color w:val="000000"/>
              <w:sz w:val="28"/>
              <w:szCs w:val="28"/>
            </w:rPr>
          </w:pPr>
          <w:r>
            <w:rPr>
              <w:rFonts w:ascii="Sakkal Majalla" w:eastAsia="Sakkal Majalla" w:hAnsi="Sakkal Majalla" w:cs="Sakkal Majalla"/>
              <w:color w:val="000000"/>
              <w:sz w:val="28"/>
              <w:szCs w:val="28"/>
              <w:rtl/>
            </w:rPr>
            <w:t>إعداد | اللجنة العلميّة</w:t>
          </w:r>
        </w:p>
      </w:tc>
      <w:tc>
        <w:tcPr>
          <w:tcW w:w="987" w:type="dxa"/>
          <w:tcBorders>
            <w:top w:val="single" w:sz="4" w:space="0" w:color="C0504D"/>
          </w:tcBorders>
          <w:shd w:val="clear" w:color="auto" w:fill="943734"/>
        </w:tcPr>
        <w:p w14:paraId="2A12A057" w14:textId="77777777" w:rsidR="00AB1B45" w:rsidRDefault="00000000">
          <w:pPr>
            <w:pBdr>
              <w:top w:val="nil"/>
              <w:left w:val="nil"/>
              <w:bottom w:val="nil"/>
              <w:right w:val="nil"/>
              <w:between w:val="nil"/>
            </w:pBdr>
            <w:tabs>
              <w:tab w:val="center" w:pos="4153"/>
              <w:tab w:val="right" w:pos="8306"/>
            </w:tabs>
            <w:jc w:val="center"/>
            <w:rPr>
              <w:b/>
              <w:color w:val="FFFFFF"/>
              <w:sz w:val="28"/>
              <w:szCs w:val="28"/>
            </w:rPr>
          </w:pP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5742">
            <w:rPr>
              <w:b/>
              <w:noProof/>
              <w:color w:val="000000"/>
              <w:sz w:val="24"/>
              <w:szCs w:val="24"/>
              <w:rtl/>
            </w:rPr>
            <w:t>1</w:t>
          </w:r>
          <w:r>
            <w:rPr>
              <w:b/>
              <w:color w:val="000000"/>
              <w:sz w:val="24"/>
              <w:szCs w:val="24"/>
            </w:rPr>
            <w:fldChar w:fldCharType="end"/>
          </w:r>
        </w:p>
      </w:tc>
    </w:tr>
  </w:tbl>
  <w:p w14:paraId="7067C714" w14:textId="77777777" w:rsidR="00AB1B45" w:rsidRDefault="00AB1B45">
    <w:pPr>
      <w:pBdr>
        <w:top w:val="nil"/>
        <w:left w:val="nil"/>
        <w:bottom w:val="nil"/>
        <w:right w:val="nil"/>
        <w:between w:val="nil"/>
      </w:pBdr>
      <w:tabs>
        <w:tab w:val="center" w:pos="4153"/>
        <w:tab w:val="right" w:pos="8306"/>
      </w:tabs>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5B10" w14:textId="77777777" w:rsidR="00E11421" w:rsidRDefault="00E11421">
      <w:r>
        <w:separator/>
      </w:r>
    </w:p>
  </w:footnote>
  <w:footnote w:type="continuationSeparator" w:id="0">
    <w:p w14:paraId="5E1B5C08" w14:textId="77777777" w:rsidR="00E11421" w:rsidRDefault="00E1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76FF" w14:textId="77777777" w:rsidR="00AB1B45" w:rsidRDefault="00AB1B45">
    <w:pPr>
      <w:widowControl w:val="0"/>
      <w:pBdr>
        <w:top w:val="nil"/>
        <w:left w:val="nil"/>
        <w:bottom w:val="nil"/>
        <w:right w:val="nil"/>
        <w:between w:val="nil"/>
      </w:pBdr>
      <w:spacing w:line="276" w:lineRule="auto"/>
      <w:jc w:val="left"/>
    </w:pPr>
  </w:p>
  <w:tbl>
    <w:tblPr>
      <w:tblStyle w:val="a"/>
      <w:bidiVisual/>
      <w:tblW w:w="9868" w:type="dxa"/>
      <w:tblInd w:w="-115" w:type="dxa"/>
      <w:tblLayout w:type="fixed"/>
      <w:tblLook w:val="0400" w:firstRow="0" w:lastRow="0" w:firstColumn="0" w:lastColumn="0" w:noHBand="0" w:noVBand="1"/>
    </w:tblPr>
    <w:tblGrid>
      <w:gridCol w:w="2960"/>
      <w:gridCol w:w="6908"/>
    </w:tblGrid>
    <w:tr w:rsidR="00AB1B45" w14:paraId="552307B6" w14:textId="77777777">
      <w:trPr>
        <w:trHeight w:val="500"/>
      </w:trPr>
      <w:tc>
        <w:tcPr>
          <w:tcW w:w="2960" w:type="dxa"/>
          <w:tcBorders>
            <w:bottom w:val="single" w:sz="4" w:space="0" w:color="943734"/>
          </w:tcBorders>
          <w:shd w:val="clear" w:color="auto" w:fill="943734"/>
          <w:vAlign w:val="bottom"/>
        </w:tcPr>
        <w:p w14:paraId="3590F080" w14:textId="77777777" w:rsidR="00AB1B45" w:rsidRDefault="00000000">
          <w:pPr>
            <w:pBdr>
              <w:top w:val="nil"/>
              <w:left w:val="nil"/>
              <w:bottom w:val="nil"/>
              <w:right w:val="nil"/>
              <w:between w:val="nil"/>
            </w:pBdr>
            <w:tabs>
              <w:tab w:val="center" w:pos="4153"/>
              <w:tab w:val="right" w:pos="8306"/>
            </w:tabs>
            <w:jc w:val="center"/>
            <w:rPr>
              <w:color w:val="FFFFFF"/>
              <w:sz w:val="28"/>
              <w:szCs w:val="28"/>
            </w:rPr>
          </w:pPr>
          <w:r>
            <w:rPr>
              <w:rFonts w:ascii="Andalus" w:eastAsia="Andalus" w:hAnsi="Andalus" w:cs="Andalus"/>
              <w:color w:val="FFFFFF"/>
              <w:sz w:val="40"/>
              <w:szCs w:val="40"/>
              <w:rtl/>
            </w:rPr>
            <w:t xml:space="preserve">1440 هـ‏ـ </w:t>
          </w:r>
        </w:p>
      </w:tc>
      <w:tc>
        <w:tcPr>
          <w:tcW w:w="6908" w:type="dxa"/>
          <w:tcBorders>
            <w:bottom w:val="single" w:sz="4" w:space="0" w:color="000000"/>
          </w:tcBorders>
          <w:vAlign w:val="bottom"/>
        </w:tcPr>
        <w:p w14:paraId="14672C81" w14:textId="77777777" w:rsidR="00AB1B45" w:rsidRDefault="00000000">
          <w:pPr>
            <w:pBdr>
              <w:top w:val="nil"/>
              <w:left w:val="nil"/>
              <w:bottom w:val="nil"/>
              <w:right w:val="nil"/>
              <w:between w:val="nil"/>
            </w:pBdr>
            <w:tabs>
              <w:tab w:val="center" w:pos="4153"/>
              <w:tab w:val="right" w:pos="8306"/>
            </w:tabs>
            <w:jc w:val="center"/>
            <w:rPr>
              <w:color w:val="76923C"/>
              <w:sz w:val="28"/>
              <w:szCs w:val="28"/>
            </w:rPr>
          </w:pPr>
          <w:r>
            <w:rPr>
              <w:rFonts w:ascii="Sakkal Majalla" w:eastAsia="Sakkal Majalla" w:hAnsi="Sakkal Majalla" w:cs="Sakkal Majalla"/>
              <w:b/>
              <w:color w:val="984806"/>
              <w:sz w:val="40"/>
              <w:szCs w:val="40"/>
              <w:rtl/>
            </w:rPr>
            <w:t>مؤسسة وقف الشّيخ عبدالرّحمن بن ناصر البرّاك</w:t>
          </w:r>
        </w:p>
      </w:tc>
    </w:tr>
  </w:tbl>
  <w:p w14:paraId="3BEBA975" w14:textId="77777777" w:rsidR="00AB1B45" w:rsidRDefault="00AB1B45">
    <w:pPr>
      <w:pBdr>
        <w:top w:val="nil"/>
        <w:left w:val="nil"/>
        <w:bottom w:val="nil"/>
        <w:right w:val="nil"/>
        <w:between w:val="nil"/>
      </w:pBdr>
      <w:tabs>
        <w:tab w:val="center" w:pos="4153"/>
        <w:tab w:val="right" w:pos="8306"/>
      </w:tabs>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45"/>
    <w:rsid w:val="001A0AFF"/>
    <w:rsid w:val="005C5742"/>
    <w:rsid w:val="00AB1B45"/>
    <w:rsid w:val="00C110E6"/>
    <w:rsid w:val="00E05708"/>
    <w:rsid w:val="00E11421"/>
    <w:rsid w:val="00F90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0434"/>
  <w15:docId w15:val="{A52CC9B7-213C-4B1F-94E2-31C4947F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rFonts w:ascii="Times New Roman" w:eastAsia="Times New Roman" w:hAnsi="Times New Roman" w:cs="Times New Roman"/>
      <w:b/>
      <w:sz w:val="29"/>
      <w:szCs w:val="29"/>
    </w:rPr>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16F11"/>
    <w:pPr>
      <w:ind w:left="720"/>
      <w:contextualSpacing/>
    </w:pPr>
  </w:style>
  <w:style w:type="paragraph" w:styleId="Header">
    <w:name w:val="header"/>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character" w:customStyle="1" w:styleId="Char">
    <w:name w:val="العنوان Char"/>
    <w:basedOn w:val="DefaultParagraphFont"/>
    <w:rsid w:val="009E6A39"/>
    <w:rPr>
      <w:rFonts w:ascii="Times New Roman" w:eastAsia="Times New Roman" w:hAnsi="Times New Roman" w:cs="Simplified Arabic"/>
      <w:b/>
      <w:bCs/>
      <w:sz w:val="29"/>
      <w:szCs w:val="29"/>
      <w:lang w:eastAsia="ar-SA"/>
    </w:rPr>
  </w:style>
  <w:style w:type="paragraph" w:styleId="NormalWeb">
    <w:name w:val="Normal (Web)"/>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72" w:type="dxa"/>
        <w:left w:w="115" w:type="dxa"/>
        <w:bottom w:w="72" w:type="dxa"/>
        <w:right w:w="115" w:type="dxa"/>
      </w:tblCellMar>
    </w:tblPr>
  </w:style>
  <w:style w:type="table" w:customStyle="1" w:styleId="a0">
    <w:basedOn w:val="TableNormal0"/>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h-albarrak.com/fatwas/28110" TargetMode="External"/><Relationship Id="rId18" Type="http://schemas.openxmlformats.org/officeDocument/2006/relationships/hyperlink" Target="https://sh-albarrak.com/fatwas/28110" TargetMode="External"/><Relationship Id="rId26" Type="http://schemas.openxmlformats.org/officeDocument/2006/relationships/hyperlink" Target="https://sh-albarrak.com/science-benefits/6155" TargetMode="External"/><Relationship Id="rId3" Type="http://schemas.openxmlformats.org/officeDocument/2006/relationships/settings" Target="settings.xml"/><Relationship Id="rId21" Type="http://schemas.openxmlformats.org/officeDocument/2006/relationships/hyperlink" Target="https://sh-albarrak.com/fatwas/28110" TargetMode="External"/><Relationship Id="rId34" Type="http://schemas.openxmlformats.org/officeDocument/2006/relationships/footer" Target="footer1.xml"/><Relationship Id="rId7" Type="http://schemas.openxmlformats.org/officeDocument/2006/relationships/hyperlink" Target="https://sh-albarrak.com/books-explanations/2" TargetMode="External"/><Relationship Id="rId12" Type="http://schemas.openxmlformats.org/officeDocument/2006/relationships/hyperlink" Target="https://sh-albarrak.com/fatwas/28110" TargetMode="External"/><Relationship Id="rId17" Type="http://schemas.openxmlformats.org/officeDocument/2006/relationships/hyperlink" Target="https://sh-albarrak.com/fatwas/28110" TargetMode="External"/><Relationship Id="rId25" Type="http://schemas.openxmlformats.org/officeDocument/2006/relationships/hyperlink" Target="https://sh-albarrak.com/fatwas/28110"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h-albarrak.com/fatwas/28110" TargetMode="External"/><Relationship Id="rId20" Type="http://schemas.openxmlformats.org/officeDocument/2006/relationships/hyperlink" Target="https://sh-albarrak.com/fatwas/28110" TargetMode="External"/><Relationship Id="rId29" Type="http://schemas.openxmlformats.org/officeDocument/2006/relationships/hyperlink" Target="https://sh-albarrak.com/science-benefits/615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h-albarrak.com/fatwas/28110" TargetMode="External"/><Relationship Id="rId24" Type="http://schemas.openxmlformats.org/officeDocument/2006/relationships/hyperlink" Target="https://sh-albarrak.com/fatwas/28110" TargetMode="External"/><Relationship Id="rId32" Type="http://schemas.openxmlformats.org/officeDocument/2006/relationships/hyperlink" Target="https://sh-albarrak.com/science-benefits/6155" TargetMode="External"/><Relationship Id="rId5" Type="http://schemas.openxmlformats.org/officeDocument/2006/relationships/footnotes" Target="footnotes.xml"/><Relationship Id="rId15" Type="http://schemas.openxmlformats.org/officeDocument/2006/relationships/hyperlink" Target="https://sh-albarrak.com/fatwas/28110" TargetMode="External"/><Relationship Id="rId23" Type="http://schemas.openxmlformats.org/officeDocument/2006/relationships/hyperlink" Target="https://sh-albarrak.com/fatwas/28110" TargetMode="External"/><Relationship Id="rId28" Type="http://schemas.openxmlformats.org/officeDocument/2006/relationships/hyperlink" Target="https://sh-albarrak.com/science-benefits/6155" TargetMode="External"/><Relationship Id="rId36" Type="http://schemas.openxmlformats.org/officeDocument/2006/relationships/theme" Target="theme/theme1.xml"/><Relationship Id="rId10" Type="http://schemas.openxmlformats.org/officeDocument/2006/relationships/hyperlink" Target="https://sh-albarrak.com/books-explanations/2" TargetMode="External"/><Relationship Id="rId19" Type="http://schemas.openxmlformats.org/officeDocument/2006/relationships/hyperlink" Target="https://sh-albarrak.com/fatwas/28110" TargetMode="External"/><Relationship Id="rId31" Type="http://schemas.openxmlformats.org/officeDocument/2006/relationships/hyperlink" Target="https://sh-albarrak.com/science-benefits/6155" TargetMode="External"/><Relationship Id="rId4" Type="http://schemas.openxmlformats.org/officeDocument/2006/relationships/webSettings" Target="webSettings.xml"/><Relationship Id="rId9" Type="http://schemas.openxmlformats.org/officeDocument/2006/relationships/hyperlink" Target="https://sh-albarrak.com/books-explanations/2" TargetMode="External"/><Relationship Id="rId14" Type="http://schemas.openxmlformats.org/officeDocument/2006/relationships/hyperlink" Target="https://sh-albarrak.com/fatwas/28110" TargetMode="External"/><Relationship Id="rId22" Type="http://schemas.openxmlformats.org/officeDocument/2006/relationships/hyperlink" Target="https://sh-albarrak.com/fatwas/28110" TargetMode="External"/><Relationship Id="rId27" Type="http://schemas.openxmlformats.org/officeDocument/2006/relationships/hyperlink" Target="https://sh-albarrak.com/science-benefits/6155" TargetMode="External"/><Relationship Id="rId30" Type="http://schemas.openxmlformats.org/officeDocument/2006/relationships/hyperlink" Target="https://sh-albarrak.com/science-benefits/6155" TargetMode="External"/><Relationship Id="rId35" Type="http://schemas.openxmlformats.org/officeDocument/2006/relationships/fontTable" Target="fontTable.xml"/><Relationship Id="rId8" Type="http://schemas.openxmlformats.org/officeDocument/2006/relationships/hyperlink" Target="https://sh-albarrak.com/books-explanation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LpNKwOfBGWveK3wUl3YlqNkYw==">CgMxLjAyDmguejA1MzZmMjMyMWpuMg5oLnE5aHdhMTdzY2UweDIOaC56aTU5YXlnNXVuNXIyDmgubTIzY3I0NWNqY2l5Mg5oLmxuNXJpdGE5NmlyeTIOaC52MXUzanJyaWVudXoyDmguMjgycGt3dnpicGRyMg5oLnFzZGk5ZWhtcWpkMDIOaC43dGJyNjRtMXhrd20yDmguaWVieWE0c3BoNDlxMg5oLnJyeHpvc3ltemZwaDIOaC5yMGxyamxlOHViNGYyDmguZ3ZnN21lcW15NHJ6Mg5oLmsyNjV5NjFwODU1YTIOaC53OHVkODd5b3YxanAyDmguemY0MmN6cHg4MDNvMg5oLmtlNzY1MmNubTl3MDIOaC50dDhjNHc1ejNwNzIyDmgucm10YzI2MjF0cmM3Mg5oLmsyYjd6cjl2NnpxbjIOaC5pdWhwbTB2cHJ1NjI4AHIhMW93c1BYNjEwcEpfTW8xTW1OQ1pIank4TXFkSkpxdW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Office</cp:lastModifiedBy>
  <cp:revision>3</cp:revision>
  <dcterms:created xsi:type="dcterms:W3CDTF">2016-04-07T19:46:00Z</dcterms:created>
  <dcterms:modified xsi:type="dcterms:W3CDTF">2025-09-09T05:40:00Z</dcterms:modified>
</cp:coreProperties>
</file>