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الحمدُ لله والصلاة والسلام على رسول الله نبيّنا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أجمعين،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الشيخُ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بكر بن عبد الله أبو زيد -</w:t>
      </w:r>
      <w:r>
        <w:rPr>
          <w:rFonts w:ascii="Traditional Arabic" w:hAnsi="Traditional Arabic" w:cs="Traditional Arabic" w:hint="cs"/>
          <w:sz w:val="36"/>
          <w:szCs w:val="36"/>
          <w:rtl/>
        </w:rPr>
        <w:t>رَحِمَنا الله وإيّ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كتابهِ 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"حِراسةُ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2448D" w:rsidRPr="006917DC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ويتصاعد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القضية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قضية المرأة إلى قضية إفساد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العالم الإسلامي، فهذا واحد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منهم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غايته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ووسيلتهم فيقول: "إن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التأثير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الغربي الذي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المجالات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قلب المجتمع الإسلامي رأساً على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ب، لا يبدو في جلاء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أفضل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يبدو في تحرير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وهذه الخط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ليست وليدة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نعم انتهى.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في تعليق؟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إيش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يقول؟ مرة ثانية.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"إنَّ التأثيرَ الغربي الذي يَظْهر في كلِّ المجالات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91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ويَقْلب المجتمع الإسلامي رأساً على عَقِب، لا يبدو في جلاءٍ أفضلَ ممّا يبدو في تحريرِ المرأة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1B5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أقول ندور على النص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1B5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أبشر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وهذه الخطة الضال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ة ليست وليدة اليوم،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ها جاد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الذين مكروا السيئات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 قبل في عدد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الأقطار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الإسلامية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1B5F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يتكلّم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التركيز يعني يشكو مِنَ الحال في هذه البلد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والخطوات التي يتدرّج بِها دُعاةُ التغريب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 يقول: هذا ليسَ بجديدٍ ولا غريب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جارٍ ومسبوق في كثيرٍ من البلاد الإسلامية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حول ولا قوة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التي رزحتْ تحتَ وطأة الاستعمار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الاحتلال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2448D" w:rsidRPr="001B5F3F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القارئ: 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حتى آلت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</w:t>
      </w:r>
      <w:proofErr w:type="spellStart"/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واحسرتاه</w:t>
      </w:r>
      <w:proofErr w:type="spellEnd"/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- إلى واقع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الزنا، وشُرعت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عارة ودور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البِغاء بأذون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رسمية، 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رت خشبات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المسارح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بالفن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ط من الغِناء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والرقص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والتمثيل، وسُنّت القوانين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بإسقاط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الحدود،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تعزير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ضا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وهكذا،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 آثار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التدمير في الأعراض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والأخلاق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والآداب.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ولا ينازع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هذا الواقع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الإباحي الأثيم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نزع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البصيرة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قلبه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2448D" w:rsidRPr="00481332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فهل يُريد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أُجَراء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اليوم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ما وصلت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الأخرى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 الأخلاقية البائ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>سة، والواقع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1B5F3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الأثيم؟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أمام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العدوان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افر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الفضيلة، والانتصار الفاجر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ذيلة، وأمام تجاوز 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حدود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الله، وان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هاك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رمات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ه المطه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ر، نُبَي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دخائ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ل أعدائهم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الساحة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أُجراء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تغربين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إيش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ولهم أتباع.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الساحة أُجراء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تغربين.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أُ</w:t>
      </w:r>
      <w:r>
        <w:rPr>
          <w:rFonts w:ascii="Traditional Arabic" w:hAnsi="Traditional Arabic" w:cs="Traditional Arabic" w:hint="cs"/>
          <w:sz w:val="36"/>
          <w:szCs w:val="36"/>
          <w:rtl/>
        </w:rPr>
        <w:t>جراءَ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أن في الساحة أجراء مستغربين وأن لهم أتباع.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أتباعً</w:t>
      </w:r>
    </w:p>
    <w:p w:rsidR="0052448D" w:rsidRPr="00481332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لهم أتباع..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لهم؟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خلص أتباعٌ..</w:t>
      </w:r>
    </w:p>
    <w:p w:rsidR="0052448D" w:rsidRPr="00481332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ولهم أتباع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جراء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جة</w:t>
      </w:r>
      <w:proofErr w:type="spellEnd"/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أتباع كل ناعق.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بلاء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بلاء عظيم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يُفوِّقون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هام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هم لاستلاب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الفضيلة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المؤمنين، وإنزال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ذيلة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، ويجمع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ُ 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لَّه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تعالى: {</w:t>
      </w:r>
      <w:r w:rsidRPr="00F45AF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وَاللَّهُ يُرِيدُ أَنْ يَتُوبَ عَلَيْكُمْ وَيُرِيدُ الَّذِينَ يَتَّبِعُونَ الشَّهَوَاتِ أَنْ تَمِيلُوا مَيْلًا عَظِيمًا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[النساء: 27]</w:t>
      </w:r>
    </w:p>
    <w:p w:rsidR="0052448D" w:rsidRPr="00481332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قال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جرير رحمه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تعالى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(معنى ذلك: ويريد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الذين 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بعون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شهوات أنفسهم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الباطل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وطل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اب الزنا ونكاح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الآباء، وغير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تميلوا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الحق، وعم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ا أذن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لكم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، فتجوروا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طاعته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معصيته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، وتكونوا أمثالهم في اتباع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أنفسكم فيما حر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وترك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طاعته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</w:t>
      </w:r>
      <w:r w:rsidRPr="00F45AF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مَيْلًا عَظِيمًا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وإن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ما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نا ذلك أولى بالصواب: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عز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 عمَّ بقوله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: {</w:t>
      </w:r>
      <w:r w:rsidRPr="00F45AF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وَيُرِيدُ الَّذِينَ يَتَّبِعُونَ الشَّهَوَاتِ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} فوصفهم باتباع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شهوات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هم المذمومة، 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81332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هم بوصفهم بذلك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مِن غيرِ وص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فهم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باتباع بعض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الشهوات 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المذمومة، فإذا كان ذلك كذلك، فأولى المعاني بالآية ما دل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ظاهرها، 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باطنها الذي لا 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F45A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قياس، وإذا كان ذلك 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F45A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الآية عامة كل مَن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يتّبع الشهوات الحرام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فَسّروها باليهود والنصارى والزناة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يدخلُ فيهم المنافقون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يُريدونَ بالمؤمنينَ الشر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واليهود 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والنّصارى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والفسقة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فسقة 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يُريدونَ أنْ تَشيع الفاحشة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يتكّمنوا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فلذا كثير في هذا البلد يُريدون فتح دور سينما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ومسارح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لماذا يذهب فريق إلى البلاد هنا وهنا وهناك؟ يذهب فئات مِن النّاس يذهبون ليبلغوا شهواتهم في بعضِ البلاد التي يُتاح لهم فيها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مِن شُرب الخمور والزنا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أمرٌ مُسْتفيض ومشهور.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52448D" w:rsidRPr="003002C4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0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القارئ: 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وإذا كان ذلك كذلك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 داخلاً في الذين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بعون الشهوات: اليهود والن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صارى، والزناة، وكل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باطلاً؛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كلَّ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تبع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نها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عنه مُتَّبعٌ شهوة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سه، فإذا كان ذلك بتأويل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 الأولى،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جبت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حة ما اخترنا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تأويل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ذلك)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انتهى.</w:t>
      </w:r>
    </w:p>
    <w:p w:rsidR="0052448D" w:rsidRPr="003002C4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وقد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أولئك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الجناة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لهذا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طة غضبية ضالة في مجالات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الحياة كافة، بلسان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الحال، أو بلسان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المقال.</w:t>
      </w:r>
    </w:p>
    <w:p w:rsidR="0052448D" w:rsidRP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ففي مجال الحياة العامة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أولاً: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الدعوة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الحجاب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الوجه -الخمار- والتخل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ص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002C4">
        <w:rPr>
          <w:rFonts w:ascii="Traditional Arabic" w:hAnsi="Traditional Arabic" w:cs="Traditional Arabic"/>
          <w:b/>
          <w:bCs/>
          <w:sz w:val="36"/>
          <w:szCs w:val="36"/>
          <w:rtl/>
        </w:rPr>
        <w:t>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300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باقي نقاط؟</w:t>
      </w:r>
    </w:p>
    <w:p w:rsidR="0052448D" w:rsidRDefault="0052448D" w:rsidP="0052448D">
      <w:pPr>
        <w:rPr>
          <w:rFonts w:ascii="Traditional Arabic" w:hAnsi="Traditional Arabic" w:cs="Traditional Arabic"/>
          <w:sz w:val="36"/>
          <w:szCs w:val="36"/>
          <w:rtl/>
        </w:rPr>
      </w:pPr>
      <w:r w:rsidRPr="00300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 نعم</w:t>
      </w:r>
    </w:p>
    <w:p w:rsidR="0052448D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0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خلها بالتقسيط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أكبر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خطوات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خطوات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 خطوة الدعوة للسّفور، "والله في خِلاف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تَفْرضونَ على النساء الحجاب" هذا هواة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وزخ مِنَ الشبهات يَتّبعونَ المتشابِه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FE012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فَأَمَّا الَّذِينَ فِي قُلُوبِهِمْ زَيْغٌ فَيَتَّبِعُونَ مَا تَشَابَهَ مِنْهُ ابْتِغَاءَ الْفِتْنَةِ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[آل عمران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:7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المتشابِه مِنَ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المُتَشابِه مِنَ السنّة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المتشابِه مِنْ أقوال العلماء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الخلاف، يَطْرقونَ هذا في هذا الباب وفي غيرهِ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إلّا الله؛ لأنَّ المفتونون الذين حُرِموا التوفيق يَحْسِدون، اليهود والنصارى يَحْسدونَ المؤمنين أنّهم أسلموا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FE012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وَدَّ كَثِيرٌ مِنْ أَهْلِ الْكِتَابِ لَوْ يَرُدُّونَكُمْ مِنْ بَعْدِ إِيمَانِكُمْ كُفَّارًا حَسَدًا مِنْ عِنْدِ أَنْفُسِهِمْ مِنْ بَعْدِ مَا تَبَيَّنَ لَهُمُ الْحَقُّ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البقرة:109</w:t>
      </w:r>
      <w:r w:rsidRPr="00FE0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]</w:t>
      </w:r>
    </w:p>
    <w:p w:rsidR="0052448D" w:rsidRDefault="0052448D" w:rsidP="0052448D">
      <w:pPr>
        <w:rPr>
          <w:rFonts w:ascii="Traditional Arabic" w:hAnsi="Traditional Arabic" w:cs="KFGQPC Uthmanic Script HAFS"/>
          <w:b/>
          <w:bCs/>
          <w:color w:val="FF0000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FE012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قُلْ يَا أَهْلَ الْكِتَابِ هَلْ تَنْقِمُونَ مِنَّا إِلَّا أَنْ آمَنَّا بِاللَّهِ وَمَا أُنْزِلَ إِلَيْنَا وَمَا أُنْزِلَ مِنْ قَبْلُ وَأَنَّ أَكْثَرَكُمْ فَاسِقُونَ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[المائدة:59]</w:t>
      </w:r>
    </w:p>
    <w:p w:rsidR="00033B64" w:rsidRDefault="0052448D" w:rsidP="0052448D">
      <w:pPr>
        <w:rPr>
          <w:rFonts w:ascii="Traditional Arabic" w:hAnsi="Traditional Arabic" w:cs="Traditional Arabic"/>
          <w:b/>
          <w:bCs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كثيرٌ مِنَ الكفّار يعرفونَ الحق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ويعرفون أنَّ الحقَّ فيما عليهِ الإسلام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وما جاءَ بهِ الإسلام، لكن</w:t>
      </w:r>
      <w:r w:rsidRPr="0055615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يمنعهم مِن ذلك ما يمنعهم مِنَ التعصّب والتّقليد والأهواء واتّباع الشهوات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ثمَّ حينَ تَغلب 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>عليهم هذه الموانع 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 xml:space="preserve">حسدون 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المؤمنين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فهم يريدون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 xml:space="preserve"> أن 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>ثلهم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D41EA">
        <w:rPr>
          <w:rFonts w:ascii="Traditional Arabic" w:hAnsi="Traditional Arabic" w:cs="Traditional Arabic" w:hint="cs"/>
          <w:sz w:val="36"/>
          <w:szCs w:val="36"/>
          <w:rtl/>
        </w:rPr>
        <w:t xml:space="preserve"> فهم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يَعرفون أنّهم إذا أشاعوا بينَ المسلمين الشهوات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وأفسدوا عليهم دينهم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وشوَّشوا بهذا يغلبونهم؛ لأنَّ غلبة المسلمين إنّما هي بدين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بالاعتصام بحبلِ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بالتوكّل على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بإقامةِ شرع الله، مازالَ الكفّار أكثرَ عدداً وأكثر عُدَداً مِنَ المسلمين، ولهذا الآن يعني فلتقم أي دولة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 دولة باسمِ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إسلامية ترفعُ راية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هو الأمرُ</w:t>
      </w:r>
      <w:r w:rsidR="00033B64">
        <w:rPr>
          <w:rFonts w:ascii="Traditional Arabic" w:hAnsi="Traditional Arabic" w:cs="Traditional Arabic" w:hint="cs"/>
          <w:sz w:val="36"/>
          <w:szCs w:val="36"/>
          <w:rtl/>
        </w:rPr>
        <w:t xml:space="preserve"> المحظ</w:t>
      </w:r>
      <w:r>
        <w:rPr>
          <w:rFonts w:ascii="Traditional Arabic" w:hAnsi="Traditional Arabic" w:cs="Traditional Arabic" w:hint="cs"/>
          <w:sz w:val="36"/>
          <w:szCs w:val="36"/>
          <w:rtl/>
        </w:rPr>
        <w:t>ور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هو الأمرُ</w:t>
      </w:r>
      <w:r w:rsidR="00033B64">
        <w:rPr>
          <w:rFonts w:ascii="Traditional Arabic" w:hAnsi="Traditional Arabic" w:cs="Traditional Arabic" w:hint="cs"/>
          <w:sz w:val="36"/>
          <w:szCs w:val="36"/>
          <w:rtl/>
        </w:rPr>
        <w:t xml:space="preserve"> المحظ</w:t>
      </w:r>
      <w:r>
        <w:rPr>
          <w:rFonts w:ascii="Traditional Arabic" w:hAnsi="Traditional Arabic" w:cs="Traditional Arabic" w:hint="cs"/>
          <w:sz w:val="36"/>
          <w:szCs w:val="36"/>
          <w:rtl/>
        </w:rPr>
        <w:t>ور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هو الذي لا يُطِيقونهُ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يَصْبِرونَ عليهِ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ولهذا بعضُ الحركات في البلاد العالم الإسلامي حتى ولو كانَ عِنْدَهم توجّه إسلامي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يَرْكبونَ موجة الوطن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الوطن 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هذا مقبول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مقبول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الوطن وحقوق الوطن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والحقوق الوطنية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لكن لا تذكر الإسلام دين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؛ لأنَّ الإسلام في الحقيقة يفرّق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الإسلام يُفرّق بينَ الأخ وأخيهِ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يُفَرّق بينَ المؤمنِ والكافر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الإسلام فرَّق بينَ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حمزة 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بن عبد المطلب وأخوهُ كذلك العباس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وبينَ أبي لهب وأبي طالب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كُلّهم مِن صَميمِ قريش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مِن بني هاشم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ولكن أعمامُ النبي اثنانِ مِن أولياءِ الله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واثنان مِن أشقياءِ الخلق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لا إله إلّا الله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{</w:t>
      </w:r>
      <w:r w:rsidRPr="007D5C2D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لَا تَجِدُ قَوْمًا يُؤْمِنُونَ بِاللَّهِ وَالْيَوْمِ الْآخِرِ يُوَادُّونَ مَنْ حَادَّ اللَّهَ وَرَسُولَهُ وَلَوْ كَانُوا آبَاءَهُمْ أَوْ أَبْنَاءَهُمْ أَوْ إِخْوَانَهُمْ أَوْ عَشِيرَتَهُمْ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}</w:t>
      </w:r>
      <w:r w:rsidR="00033B64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[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المجادلة:22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]</w:t>
      </w:r>
    </w:p>
    <w:p w:rsidR="0052448D" w:rsidRPr="007C7F6D" w:rsidRDefault="0052448D" w:rsidP="0052448D">
      <w:pPr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انظر عبد الله بن أُبي رأسُ المنافقين لمّا أنّهُ قالَ قولتهُ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المقبوحة</w:t>
      </w:r>
      <w:proofErr w:type="spellEnd"/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{</w:t>
      </w:r>
      <w:r w:rsidRPr="007D5C2D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لَئِنْ رَجَعْنَا إِلَى الْمَدِينَةِ لَيُخْرِجَنَّ الْأَعَزُّ مِنْهَا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7D5C2D">
        <w:rPr>
          <w:rFonts w:ascii="Traditional Arabic" w:hAnsi="Traditional Arabic" w:cs="Traditional Arabic"/>
          <w:b/>
          <w:bCs/>
          <w:color w:val="FF0000"/>
          <w:sz w:val="36"/>
          <w:szCs w:val="36"/>
          <w:shd w:val="clear" w:color="auto" w:fill="FFFFFF"/>
          <w:rtl/>
        </w:rPr>
        <w:t>الْأَذَلَّ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}</w:t>
      </w:r>
      <w:r w:rsidR="00033B64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[</w:t>
      </w:r>
      <w:r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المنافقون:8</w:t>
      </w:r>
      <w:r w:rsidRPr="007D5C2D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>]</w:t>
      </w:r>
      <w:r w:rsidR="00033B64">
        <w:rPr>
          <w:rFonts w:ascii="Traditional Arabic" w:hAnsi="Traditional Arabic"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جاءَ عبد الله ابنهُ المؤمن إلى رسول الله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ووقفَ في طريقِ أبيهِ وقال: لا تدخل المدينة حتى يأذنَ رسول الله 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صلّى الله عليه وسلّم</w:t>
      </w:r>
      <w:r w:rsidR="00033B64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يعني معناهُ لِتَعلم أنّك الأذل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وأنَّ رسول الله هو الأعز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ابنه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خُذ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إبراهيم وأبوه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نوح وابنه. </w:t>
      </w:r>
      <w:r w:rsidRPr="000D41EA">
        <w:rPr>
          <w:rFonts w:ascii="Traditional Arabic" w:hAnsi="Traditional Arabic" w:cs="KFGQPC Uthmanic Script HAFS" w:hint="cs"/>
          <w:color w:val="FF0000"/>
          <w:sz w:val="36"/>
          <w:szCs w:val="24"/>
          <w:shd w:val="clear" w:color="auto" w:fill="FFFFFF"/>
          <w:rtl/>
        </w:rPr>
        <w:t xml:space="preserve"> </w:t>
      </w:r>
      <w:r w:rsidRPr="000D41EA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 </w:t>
      </w:r>
    </w:p>
    <w:p w:rsidR="0052448D" w:rsidRPr="005B631B" w:rsidRDefault="0052448D" w:rsidP="0052448D">
      <w:pPr>
        <w:rPr>
          <w:rFonts w:ascii="Traditional Arabic" w:hAnsi="Traditional Arabic" w:cs="Traditional Arabic"/>
          <w:sz w:val="36"/>
          <w:szCs w:val="36"/>
        </w:rPr>
      </w:pPr>
    </w:p>
    <w:p w:rsidR="00CC2447" w:rsidRPr="0052448D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52448D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09" w:rsidRDefault="00104209" w:rsidP="00565DAE">
      <w:r>
        <w:separator/>
      </w:r>
    </w:p>
  </w:endnote>
  <w:endnote w:type="continuationSeparator" w:id="0">
    <w:p w:rsidR="00104209" w:rsidRDefault="00104209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104209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033B64" w:rsidRPr="00033B64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4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09" w:rsidRDefault="00104209" w:rsidP="00565DAE">
      <w:r>
        <w:separator/>
      </w:r>
    </w:p>
  </w:footnote>
  <w:footnote w:type="continuationSeparator" w:id="0">
    <w:p w:rsidR="00104209" w:rsidRDefault="00104209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104209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104209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3B64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04209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2448D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BA698B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21C35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7552C-1907-4A03-A810-27BBD33F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2017-10-09T11:33:00Z</cp:lastPrinted>
  <dcterms:created xsi:type="dcterms:W3CDTF">2016-04-07T19:46:00Z</dcterms:created>
  <dcterms:modified xsi:type="dcterms:W3CDTF">2017-10-09T11:33:00Z</dcterms:modified>
</cp:coreProperties>
</file>