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DA2" w:rsidRPr="00BD1DA2" w:rsidRDefault="00BD1DA2" w:rsidP="00BD1DA2">
      <w:pPr>
        <w:bidi/>
        <w:spacing w:after="0" w:line="360" w:lineRule="auto"/>
        <w:jc w:val="center"/>
        <w:rPr>
          <w:rFonts w:ascii="Traditional Arabic" w:hAnsi="Traditional Arabic" w:cs="Traditional Arabic"/>
          <w:sz w:val="36"/>
          <w:szCs w:val="36"/>
          <w:lang w:bidi="ar-SY"/>
        </w:rPr>
      </w:pPr>
      <w:bookmarkStart w:id="0" w:name="OLE_LINK99"/>
      <w:r w:rsidRPr="00BD1DA2">
        <w:rPr>
          <w:rFonts w:ascii="Traditional Arabic" w:hAnsi="Traditional Arabic" w:cs="Traditional Arabic"/>
          <w:sz w:val="36"/>
          <w:szCs w:val="36"/>
          <w:rtl/>
          <w:lang w:bidi="ar-SY"/>
        </w:rPr>
        <w:t>الذبح في رجب لدفع أذى الجن</w:t>
      </w:r>
    </w:p>
    <w:bookmarkEnd w:id="0"/>
    <w:p w:rsidR="00BD1DA2" w:rsidRDefault="00BD1DA2" w:rsidP="00BD1DA2">
      <w:pPr>
        <w:bidi/>
        <w:spacing w:after="0" w:line="360" w:lineRule="auto"/>
        <w:jc w:val="both"/>
        <w:rPr>
          <w:rStyle w:val="Strong"/>
          <w:rFonts w:ascii="Traditional Arabic" w:hAnsi="Traditional Arabic" w:cs="Traditional Arabic" w:hint="cs"/>
          <w:sz w:val="36"/>
          <w:szCs w:val="36"/>
          <w:rtl/>
        </w:rPr>
      </w:pPr>
      <w:r w:rsidRPr="00BD1DA2">
        <w:rPr>
          <w:rStyle w:val="Strong"/>
          <w:rFonts w:ascii="Traditional Arabic" w:hAnsi="Traditional Arabic" w:cs="Traditional Arabic"/>
          <w:sz w:val="36"/>
          <w:szCs w:val="36"/>
          <w:rtl/>
        </w:rPr>
        <w:t>السؤال</w:t>
      </w:r>
      <w:r w:rsidRPr="00BD1DA2">
        <w:rPr>
          <w:rStyle w:val="Strong"/>
          <w:rFonts w:ascii="Traditional Arabic" w:hAnsi="Traditional Arabic" w:cs="Traditional Arabic"/>
          <w:sz w:val="36"/>
          <w:szCs w:val="36"/>
        </w:rPr>
        <w:t xml:space="preserve">: </w:t>
      </w:r>
    </w:p>
    <w:p w:rsidR="00BD1DA2" w:rsidRDefault="00BD1DA2" w:rsidP="00BD1DA2">
      <w:pPr>
        <w:bidi/>
        <w:spacing w:after="0" w:line="360" w:lineRule="auto"/>
        <w:jc w:val="both"/>
        <w:rPr>
          <w:rStyle w:val="Strong"/>
          <w:rFonts w:ascii="Traditional Arabic" w:hAnsi="Traditional Arabic" w:cs="Traditional Arabic" w:hint="cs"/>
          <w:sz w:val="36"/>
          <w:szCs w:val="36"/>
          <w:rtl/>
        </w:rPr>
      </w:pPr>
      <w:r w:rsidRPr="00BD1DA2">
        <w:rPr>
          <w:rStyle w:val="Strong"/>
          <w:rFonts w:ascii="Traditional Arabic" w:hAnsi="Traditional Arabic" w:cs="Traditional Arabic"/>
          <w:sz w:val="36"/>
          <w:szCs w:val="36"/>
          <w:rtl/>
        </w:rPr>
        <w:t>ما حكم من يذبح في شهر رجب من كل سنة بقصد دفع أذى الجن؟ ويدَّعي أنه يذبحها لله؟ علماً أنه إذا لم يذبح فإن الجن تؤذيه</w:t>
      </w:r>
      <w:r w:rsidRPr="00BD1DA2">
        <w:rPr>
          <w:rStyle w:val="Strong"/>
          <w:rFonts w:ascii="Traditional Arabic" w:hAnsi="Traditional Arabic" w:cs="Traditional Arabic"/>
          <w:sz w:val="36"/>
          <w:szCs w:val="36"/>
        </w:rPr>
        <w:t>. </w:t>
      </w:r>
    </w:p>
    <w:p w:rsidR="001A442A" w:rsidRPr="00BD1DA2" w:rsidRDefault="00BD1DA2" w:rsidP="00BD1DA2">
      <w:pPr>
        <w:bidi/>
        <w:spacing w:after="0" w:line="360" w:lineRule="auto"/>
        <w:jc w:val="both"/>
        <w:rPr>
          <w:rFonts w:ascii="Traditional Arabic" w:hAnsi="Traditional Arabic" w:cs="Traditional Arabic"/>
          <w:b/>
          <w:bCs/>
          <w:sz w:val="36"/>
          <w:szCs w:val="36"/>
          <w:rtl/>
        </w:rPr>
      </w:pPr>
      <w:bookmarkStart w:id="1" w:name="_GoBack"/>
      <w:bookmarkEnd w:id="1"/>
      <w:r w:rsidRPr="00BD1DA2">
        <w:rPr>
          <w:rFonts w:ascii="Traditional Arabic" w:hAnsi="Traditional Arabic" w:cs="Traditional Arabic"/>
          <w:b/>
          <w:bCs/>
          <w:sz w:val="36"/>
          <w:szCs w:val="36"/>
        </w:rPr>
        <w:br/>
      </w:r>
      <w:r w:rsidRPr="00BD1DA2">
        <w:rPr>
          <w:rStyle w:val="Strong"/>
          <w:rFonts w:ascii="Traditional Arabic" w:hAnsi="Traditional Arabic" w:cs="Traditional Arabic"/>
          <w:sz w:val="36"/>
          <w:szCs w:val="36"/>
          <w:rtl/>
        </w:rPr>
        <w:t>الجـواب</w:t>
      </w:r>
      <w:r w:rsidRPr="00BD1DA2">
        <w:rPr>
          <w:rStyle w:val="Strong"/>
          <w:rFonts w:ascii="Traditional Arabic" w:hAnsi="Traditional Arabic" w:cs="Traditional Arabic"/>
          <w:sz w:val="36"/>
          <w:szCs w:val="36"/>
        </w:rPr>
        <w:t>:</w:t>
      </w:r>
      <w:r w:rsidRPr="00BD1DA2">
        <w:rPr>
          <w:rFonts w:ascii="Traditional Arabic" w:hAnsi="Traditional Arabic" w:cs="Traditional Arabic"/>
          <w:sz w:val="36"/>
          <w:szCs w:val="36"/>
        </w:rPr>
        <w:br/>
      </w:r>
      <w:r w:rsidRPr="00BD1DA2">
        <w:rPr>
          <w:rFonts w:ascii="Traditional Arabic" w:hAnsi="Traditional Arabic" w:cs="Traditional Arabic"/>
          <w:sz w:val="36"/>
          <w:szCs w:val="36"/>
          <w:rtl/>
        </w:rPr>
        <w:t>الحمد لله، الذبح للجن من أنواع الشرك الأكبر، لأن الذبح لغير الله تعظيماً وتقرباً خوفاً أو رجاءً هو عبادة لغير الله، والذبح لله من التوحيد، كما قرن الله النسك والنحر بالصلاة في قوله</w:t>
      </w:r>
      <w:r>
        <w:rPr>
          <w:rFonts w:ascii="Traditional Arabic" w:hAnsi="Traditional Arabic" w:cs="Traditional Arabic"/>
          <w:sz w:val="36"/>
          <w:szCs w:val="36"/>
          <w:rtl/>
        </w:rPr>
        <w:t>: {</w:t>
      </w:r>
      <w:r w:rsidRPr="00BD1DA2">
        <w:rPr>
          <w:rStyle w:val="Strong"/>
          <w:rFonts w:ascii="Traditional Arabic" w:hAnsi="Traditional Arabic" w:cs="Traditional Arabic"/>
          <w:color w:val="B22222"/>
          <w:sz w:val="36"/>
          <w:szCs w:val="36"/>
          <w:rtl/>
        </w:rPr>
        <w:t>قُلْ إِنَّ صَلاتِي وَنُسُكِي وَمَحْيَايَ وَمَمَاتِي لِلَّهِ رَبِّ الْعَالَمِينَ</w:t>
      </w:r>
      <w:r>
        <w:rPr>
          <w:rFonts w:ascii="Traditional Arabic" w:hAnsi="Traditional Arabic" w:cs="Traditional Arabic"/>
          <w:sz w:val="36"/>
          <w:szCs w:val="36"/>
          <w:rtl/>
        </w:rPr>
        <w:t>}</w:t>
      </w:r>
      <w:r w:rsidRPr="00BD1DA2">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BD1DA2">
        <w:rPr>
          <w:rFonts w:ascii="Traditional Arabic" w:hAnsi="Traditional Arabic" w:cs="Traditional Arabic"/>
          <w:sz w:val="36"/>
          <w:szCs w:val="36"/>
          <w:rtl/>
        </w:rPr>
        <w:t>سورة الأنعام، الآية: 162</w:t>
      </w:r>
      <w:r>
        <w:rPr>
          <w:rFonts w:ascii="Traditional Arabic" w:hAnsi="Traditional Arabic" w:cs="Traditional Arabic"/>
          <w:sz w:val="36"/>
          <w:szCs w:val="36"/>
          <w:rtl/>
        </w:rPr>
        <w:t>]</w:t>
      </w:r>
      <w:r w:rsidRPr="00BD1DA2">
        <w:rPr>
          <w:rFonts w:ascii="Traditional Arabic" w:hAnsi="Traditional Arabic" w:cs="Traditional Arabic"/>
          <w:sz w:val="36"/>
          <w:szCs w:val="36"/>
          <w:rtl/>
        </w:rPr>
        <w:t>، وقال تعالى</w:t>
      </w:r>
      <w:r>
        <w:rPr>
          <w:rFonts w:ascii="Traditional Arabic" w:hAnsi="Traditional Arabic" w:cs="Traditional Arabic"/>
          <w:sz w:val="36"/>
          <w:szCs w:val="36"/>
          <w:rtl/>
        </w:rPr>
        <w:t>: {</w:t>
      </w:r>
      <w:r w:rsidRPr="00BD1DA2">
        <w:rPr>
          <w:rStyle w:val="Strong"/>
          <w:rFonts w:ascii="Traditional Arabic" w:hAnsi="Traditional Arabic" w:cs="Traditional Arabic"/>
          <w:color w:val="B22222"/>
          <w:sz w:val="36"/>
          <w:szCs w:val="36"/>
          <w:rtl/>
        </w:rPr>
        <w:t>فَصَلِّ لِرَبِّكَ وَانْحَرْ</w:t>
      </w:r>
      <w:r>
        <w:rPr>
          <w:rFonts w:ascii="Traditional Arabic" w:hAnsi="Traditional Arabic" w:cs="Traditional Arabic"/>
          <w:sz w:val="36"/>
          <w:szCs w:val="36"/>
          <w:rtl/>
        </w:rPr>
        <w:t>}</w:t>
      </w:r>
      <w:r w:rsidRPr="00BD1DA2">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BD1DA2">
        <w:rPr>
          <w:rFonts w:ascii="Traditional Arabic" w:hAnsi="Traditional Arabic" w:cs="Traditional Arabic"/>
          <w:sz w:val="36"/>
          <w:szCs w:val="36"/>
          <w:rtl/>
        </w:rPr>
        <w:t>سورة الكوثر، الآية: 2</w:t>
      </w:r>
      <w:r>
        <w:rPr>
          <w:rFonts w:ascii="Traditional Arabic" w:hAnsi="Traditional Arabic" w:cs="Traditional Arabic"/>
          <w:sz w:val="36"/>
          <w:szCs w:val="36"/>
          <w:rtl/>
        </w:rPr>
        <w:t>]</w:t>
      </w:r>
      <w:r w:rsidRPr="00BD1DA2">
        <w:rPr>
          <w:rFonts w:ascii="Traditional Arabic" w:hAnsi="Traditional Arabic" w:cs="Traditional Arabic"/>
          <w:sz w:val="36"/>
          <w:szCs w:val="36"/>
          <w:rtl/>
        </w:rPr>
        <w:t>، فهذا الذي يذبح للجن هو مشرك، وإن زعم أنه يذبح لله، فالعبرة بالمقاصد وبالنيات، فإذا كانت النية باطلة وسيئة لم تنفع الدعاوى الكاذبة، فالله سبحانه وتعالى يعلم السرائر، وإذا كان يذبح للجن لأنه إذا لم يذبح لهم يؤذونه فليس هذا بعذر، بل عليه أن يستعين بالله ويستعيذ به من شرهم، ولا يطيعهم؛ فإنهم يؤذونه من أجل أن يعبدهم ويتقرب إليهم، وقد كان أهل الجاهلية يستعيذون بالجن فيتسلطون عليهم من أجل أن يلجؤوا إليهم كما قال تعالى</w:t>
      </w:r>
      <w:r>
        <w:rPr>
          <w:rFonts w:ascii="Traditional Arabic" w:hAnsi="Traditional Arabic" w:cs="Traditional Arabic"/>
          <w:sz w:val="36"/>
          <w:szCs w:val="36"/>
          <w:rtl/>
        </w:rPr>
        <w:t>: {</w:t>
      </w:r>
      <w:r w:rsidRPr="00BD1DA2">
        <w:rPr>
          <w:rStyle w:val="Strong"/>
          <w:rFonts w:ascii="Traditional Arabic" w:hAnsi="Traditional Arabic" w:cs="Traditional Arabic"/>
          <w:color w:val="B22222"/>
          <w:sz w:val="36"/>
          <w:szCs w:val="36"/>
          <w:rtl/>
        </w:rPr>
        <w:t>وَأَنَّهُ كَانَ رِجَالٌ مِنَ الإنس يَعُوذُونَ بِرِجَالٍ مِنَ الْجِنِّ فَزَادُوهُمْ رَهَقاً</w:t>
      </w:r>
      <w:r>
        <w:rPr>
          <w:rFonts w:ascii="Traditional Arabic" w:hAnsi="Traditional Arabic" w:cs="Traditional Arabic"/>
          <w:sz w:val="36"/>
          <w:szCs w:val="36"/>
          <w:rtl/>
        </w:rPr>
        <w:t>}</w:t>
      </w:r>
      <w:r w:rsidRPr="00BD1DA2">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BD1DA2">
        <w:rPr>
          <w:rFonts w:ascii="Traditional Arabic" w:hAnsi="Traditional Arabic" w:cs="Traditional Arabic"/>
          <w:sz w:val="36"/>
          <w:szCs w:val="36"/>
          <w:rtl/>
        </w:rPr>
        <w:t>سورة الجن، الآية: 6</w:t>
      </w:r>
      <w:r>
        <w:rPr>
          <w:rFonts w:ascii="Traditional Arabic" w:hAnsi="Traditional Arabic" w:cs="Traditional Arabic"/>
          <w:sz w:val="36"/>
          <w:szCs w:val="36"/>
          <w:rtl/>
        </w:rPr>
        <w:t>]</w:t>
      </w:r>
      <w:r w:rsidRPr="00BD1DA2">
        <w:rPr>
          <w:rFonts w:ascii="Traditional Arabic" w:hAnsi="Traditional Arabic" w:cs="Traditional Arabic"/>
          <w:sz w:val="36"/>
          <w:szCs w:val="36"/>
          <w:rtl/>
        </w:rPr>
        <w:t xml:space="preserve"> قال بعض المفسرين</w:t>
      </w:r>
      <w:r>
        <w:rPr>
          <w:rFonts w:ascii="Traditional Arabic" w:hAnsi="Traditional Arabic" w:cs="Traditional Arabic"/>
          <w:sz w:val="36"/>
          <w:szCs w:val="36"/>
          <w:rtl/>
        </w:rPr>
        <w:t>: {</w:t>
      </w:r>
      <w:r w:rsidRPr="00BD1DA2">
        <w:rPr>
          <w:rStyle w:val="Strong"/>
          <w:rFonts w:ascii="Traditional Arabic" w:hAnsi="Traditional Arabic" w:cs="Traditional Arabic"/>
          <w:color w:val="B22222"/>
          <w:sz w:val="36"/>
          <w:szCs w:val="36"/>
          <w:rtl/>
        </w:rPr>
        <w:t>فَزَادُوهُمْ رَهَقاً</w:t>
      </w:r>
      <w:r>
        <w:rPr>
          <w:rFonts w:ascii="Traditional Arabic" w:hAnsi="Traditional Arabic" w:cs="Traditional Arabic"/>
          <w:sz w:val="36"/>
          <w:szCs w:val="36"/>
          <w:rtl/>
        </w:rPr>
        <w:t>}</w:t>
      </w:r>
      <w:r w:rsidRPr="00BD1DA2">
        <w:rPr>
          <w:rFonts w:ascii="Traditional Arabic" w:hAnsi="Traditional Arabic" w:cs="Traditional Arabic"/>
          <w:sz w:val="36"/>
          <w:szCs w:val="36"/>
          <w:rtl/>
        </w:rPr>
        <w:t xml:space="preserve">، أي: زاد الجن </w:t>
      </w:r>
      <w:r w:rsidRPr="00BD1DA2">
        <w:rPr>
          <w:rFonts w:ascii="Traditional Arabic" w:hAnsi="Traditional Arabic" w:cs="Traditional Arabic"/>
          <w:sz w:val="36"/>
          <w:szCs w:val="36"/>
          <w:rtl/>
        </w:rPr>
        <w:lastRenderedPageBreak/>
        <w:t>الإنس خوفاً وذعراً، وقال بعضهم: زاد الإنس الجن كبراً وطغياناً، فالواجب على هذا الذي يذبح للجن أن يتوب إلى الله وأن يخلص الدين لله وأن لا يذبح إلا لله، وإذا صح توحيده كفاه الله شر أعدائه من الجن والإنس، فعليه أن يتوكَّل على ربه ويعتصم به، ومن يتوكل على الله فهو حسبه، والله أعلم</w:t>
      </w:r>
      <w:r w:rsidRPr="00BD1DA2">
        <w:rPr>
          <w:rFonts w:ascii="Traditional Arabic" w:hAnsi="Traditional Arabic" w:cs="Traditional Arabic"/>
          <w:sz w:val="36"/>
          <w:szCs w:val="36"/>
        </w:rPr>
        <w:t>.</w:t>
      </w:r>
    </w:p>
    <w:sectPr w:rsidR="001A442A" w:rsidRPr="00BD1DA2" w:rsidSect="00987B69">
      <w:headerReference w:type="default" r:id="rId7"/>
      <w:pgSz w:w="11906" w:h="16838"/>
      <w:pgMar w:top="1588" w:right="1588" w:bottom="1588"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B46" w:rsidRDefault="00C96B46" w:rsidP="003F36A8">
      <w:pPr>
        <w:spacing w:after="0" w:line="240" w:lineRule="auto"/>
      </w:pPr>
      <w:r>
        <w:separator/>
      </w:r>
    </w:p>
  </w:endnote>
  <w:endnote w:type="continuationSeparator" w:id="0">
    <w:p w:rsidR="00C96B46" w:rsidRDefault="00C96B46" w:rsidP="003F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B46" w:rsidRDefault="00C96B46" w:rsidP="003F36A8">
      <w:pPr>
        <w:spacing w:after="0" w:line="240" w:lineRule="auto"/>
      </w:pPr>
      <w:r>
        <w:separator/>
      </w:r>
    </w:p>
  </w:footnote>
  <w:footnote w:type="continuationSeparator" w:id="0">
    <w:p w:rsidR="00C96B46" w:rsidRDefault="00C96B46" w:rsidP="003F3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8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9"/>
      <w:gridCol w:w="8393"/>
    </w:tblGrid>
    <w:tr w:rsidR="00736693" w:rsidTr="00987B69">
      <w:tc>
        <w:tcPr>
          <w:tcW w:w="1389" w:type="dxa"/>
        </w:tcPr>
        <w:p w:rsidR="003F36A8" w:rsidRPr="003F36A8" w:rsidRDefault="003F36A8" w:rsidP="00736693">
          <w:pPr>
            <w:rPr>
              <w:rFonts w:ascii="Traditional Arabic" w:hAnsi="Traditional Arabic" w:cs="Traditional Arabic"/>
              <w:sz w:val="40"/>
              <w:szCs w:val="40"/>
              <w:rtl/>
            </w:rPr>
          </w:pPr>
          <w:r w:rsidRPr="003F36A8">
            <w:rPr>
              <w:rFonts w:ascii="Traditional Arabic" w:hAnsi="Traditional Arabic" w:cs="Traditional Arabic"/>
              <w:noProof/>
              <w:sz w:val="40"/>
              <w:szCs w:val="40"/>
              <w:rtl/>
            </w:rPr>
            <w:t>فتاوى الشيخ</w:t>
          </w:r>
        </w:p>
      </w:tc>
      <w:tc>
        <w:tcPr>
          <w:tcW w:w="8393" w:type="dxa"/>
        </w:tcPr>
        <w:p w:rsidR="003F36A8" w:rsidRDefault="00736693" w:rsidP="00987B69">
          <w:pPr>
            <w:pStyle w:val="Header"/>
            <w:tabs>
              <w:tab w:val="clear" w:pos="8640"/>
              <w:tab w:val="left" w:pos="4740"/>
            </w:tabs>
            <w:ind w:left="1905"/>
            <w:rPr>
              <w:noProof/>
            </w:rPr>
          </w:pPr>
          <w:r>
            <w:rPr>
              <w:noProof/>
            </w:rPr>
            <w:tab/>
          </w:r>
          <w:r>
            <w:rPr>
              <w:noProof/>
              <w:lang w:val="en-GB" w:eastAsia="en-GB"/>
            </w:rPr>
            <w:drawing>
              <wp:inline distT="0" distB="0" distL="0" distR="0" wp14:anchorId="56D2B6A3" wp14:editId="6CB57AEE">
                <wp:extent cx="2931160" cy="748847"/>
                <wp:effectExtent l="0" t="0" r="0" b="0"/>
                <wp:docPr id="107" name="صورة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site-logo.png"/>
                        <pic:cNvPicPr/>
                      </pic:nvPicPr>
                      <pic:blipFill>
                        <a:blip r:embed="rId1">
                          <a:extLst>
                            <a:ext uri="{28A0092B-C50C-407E-A947-70E740481C1C}">
                              <a14:useLocalDpi xmlns:a14="http://schemas.microsoft.com/office/drawing/2010/main" val="0"/>
                            </a:ext>
                          </a:extLst>
                        </a:blip>
                        <a:stretch>
                          <a:fillRect/>
                        </a:stretch>
                      </pic:blipFill>
                      <pic:spPr>
                        <a:xfrm>
                          <a:off x="0" y="0"/>
                          <a:ext cx="3455720" cy="882861"/>
                        </a:xfrm>
                        <a:prstGeom prst="rect">
                          <a:avLst/>
                        </a:prstGeom>
                      </pic:spPr>
                    </pic:pic>
                  </a:graphicData>
                </a:graphic>
              </wp:inline>
            </w:drawing>
          </w:r>
        </w:p>
      </w:tc>
    </w:tr>
  </w:tbl>
  <w:p w:rsidR="003F36A8" w:rsidRDefault="003F36A8" w:rsidP="00736693">
    <w:pPr>
      <w:pStyle w:val="Header"/>
      <w:tabs>
        <w:tab w:val="clear" w:pos="4320"/>
        <w:tab w:val="clear" w:pos="8640"/>
        <w:tab w:val="left" w:pos="1485"/>
      </w:tabs>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A8"/>
    <w:rsid w:val="00060FAF"/>
    <w:rsid w:val="001263DC"/>
    <w:rsid w:val="001A442A"/>
    <w:rsid w:val="001D7EC0"/>
    <w:rsid w:val="00361D7F"/>
    <w:rsid w:val="003E312B"/>
    <w:rsid w:val="003F36A8"/>
    <w:rsid w:val="004B29F2"/>
    <w:rsid w:val="0050622E"/>
    <w:rsid w:val="00657243"/>
    <w:rsid w:val="006F0173"/>
    <w:rsid w:val="006F1E86"/>
    <w:rsid w:val="00736693"/>
    <w:rsid w:val="00740399"/>
    <w:rsid w:val="007A2AD5"/>
    <w:rsid w:val="007A3537"/>
    <w:rsid w:val="007A5491"/>
    <w:rsid w:val="0088213D"/>
    <w:rsid w:val="00910BCA"/>
    <w:rsid w:val="00985881"/>
    <w:rsid w:val="00987B69"/>
    <w:rsid w:val="00995285"/>
    <w:rsid w:val="00BA38C1"/>
    <w:rsid w:val="00BD1DA2"/>
    <w:rsid w:val="00BF32EB"/>
    <w:rsid w:val="00C32928"/>
    <w:rsid w:val="00C35DCF"/>
    <w:rsid w:val="00C96B46"/>
    <w:rsid w:val="00D55F41"/>
    <w:rsid w:val="00D86EFA"/>
    <w:rsid w:val="00E210BA"/>
    <w:rsid w:val="00E27E0D"/>
    <w:rsid w:val="00EF5C4D"/>
    <w:rsid w:val="00F24B8B"/>
    <w:rsid w:val="00F41371"/>
    <w:rsid w:val="00F73F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36A8"/>
  </w:style>
  <w:style w:type="paragraph" w:styleId="Footer">
    <w:name w:val="footer"/>
    <w:basedOn w:val="Normal"/>
    <w:link w:val="FooterChar"/>
    <w:uiPriority w:val="99"/>
    <w:unhideWhenUsed/>
    <w:rsid w:val="003F36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36A8"/>
  </w:style>
  <w:style w:type="table" w:styleId="TableGrid">
    <w:name w:val="Table Grid"/>
    <w:basedOn w:val="TableNormal"/>
    <w:uiPriority w:val="39"/>
    <w:rsid w:val="003F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69"/>
    <w:rPr>
      <w:rFonts w:ascii="Tahoma" w:hAnsi="Tahoma" w:cs="Tahoma"/>
      <w:sz w:val="16"/>
      <w:szCs w:val="16"/>
    </w:rPr>
  </w:style>
  <w:style w:type="character" w:styleId="Strong">
    <w:name w:val="Strong"/>
    <w:basedOn w:val="DefaultParagraphFont"/>
    <w:uiPriority w:val="22"/>
    <w:qFormat/>
    <w:rsid w:val="00987B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36A8"/>
  </w:style>
  <w:style w:type="paragraph" w:styleId="Footer">
    <w:name w:val="footer"/>
    <w:basedOn w:val="Normal"/>
    <w:link w:val="FooterChar"/>
    <w:uiPriority w:val="99"/>
    <w:unhideWhenUsed/>
    <w:rsid w:val="003F36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36A8"/>
  </w:style>
  <w:style w:type="table" w:styleId="TableGrid">
    <w:name w:val="Table Grid"/>
    <w:basedOn w:val="TableNormal"/>
    <w:uiPriority w:val="39"/>
    <w:rsid w:val="003F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69"/>
    <w:rPr>
      <w:rFonts w:ascii="Tahoma" w:hAnsi="Tahoma" w:cs="Tahoma"/>
      <w:sz w:val="16"/>
      <w:szCs w:val="16"/>
    </w:rPr>
  </w:style>
  <w:style w:type="character" w:styleId="Strong">
    <w:name w:val="Strong"/>
    <w:basedOn w:val="DefaultParagraphFont"/>
    <w:uiPriority w:val="22"/>
    <w:qFormat/>
    <w:rsid w:val="00987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E98BDE1F</Template>
  <TotalTime>1</TotalTime>
  <Pages>2</Pages>
  <Words>207</Words>
  <Characters>1181</Characters>
  <Application>Microsoft Office Word</Application>
  <DocSecurity>0</DocSecurity>
  <Lines>9</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University of Warwick</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Rihawi, Zeina</cp:lastModifiedBy>
  <cp:revision>2</cp:revision>
  <cp:lastPrinted>2016-06-04T18:45:00Z</cp:lastPrinted>
  <dcterms:created xsi:type="dcterms:W3CDTF">2016-06-04T18:50:00Z</dcterms:created>
  <dcterms:modified xsi:type="dcterms:W3CDTF">2016-06-04T18:50:00Z</dcterms:modified>
</cp:coreProperties>
</file>